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EE41" w14:textId="766BC52D" w:rsidR="00856AB3" w:rsidRPr="00462B08" w:rsidRDefault="002C3666" w:rsidP="00902D8E">
      <w:pPr>
        <w:jc w:val="center"/>
        <w:rPr>
          <w:rFonts w:ascii="Times New Roman" w:hAnsi="Times New Roman" w:cs="Times New Roman"/>
          <w:sz w:val="28"/>
          <w:szCs w:val="28"/>
          <w:lang w:val="uz-Latn-UZ"/>
        </w:rPr>
      </w:pPr>
      <w:bookmarkStart w:id="0" w:name="_Hlk210741077"/>
      <w:r w:rsidRPr="00462B08">
        <w:rPr>
          <w:rFonts w:ascii="Times New Roman" w:hAnsi="Times New Roman" w:cs="Times New Roman"/>
          <w:b/>
          <w:bCs/>
          <w:sz w:val="28"/>
          <w:szCs w:val="28"/>
          <w:lang w:val="uz-Latn-UZ"/>
        </w:rPr>
        <w:t>“KDB Bank O‘zbekiston” AJ</w:t>
      </w:r>
      <w:r w:rsidR="00E613FF" w:rsidRPr="00462B08">
        <w:rPr>
          <w:rFonts w:ascii="Times New Roman" w:hAnsi="Times New Roman" w:cs="Times New Roman"/>
          <w:b/>
          <w:bCs/>
          <w:sz w:val="28"/>
          <w:szCs w:val="28"/>
          <w:lang w:val="uz-Latn-UZ"/>
        </w:rPr>
        <w:t xml:space="preserve"> </w:t>
      </w:r>
      <w:r w:rsidRPr="00462B08">
        <w:rPr>
          <w:rFonts w:ascii="Times New Roman" w:hAnsi="Times New Roman" w:cs="Times New Roman"/>
          <w:b/>
          <w:bCs/>
          <w:sz w:val="28"/>
          <w:szCs w:val="28"/>
          <w:lang w:val="uz-Latn-UZ"/>
        </w:rPr>
        <w:t xml:space="preserve">ga </w:t>
      </w:r>
      <w:r w:rsidR="00B56F0E" w:rsidRPr="00462B08">
        <w:rPr>
          <w:rFonts w:ascii="Times New Roman" w:hAnsi="Times New Roman" w:cs="Times New Roman"/>
          <w:b/>
          <w:bCs/>
          <w:sz w:val="28"/>
          <w:szCs w:val="28"/>
          <w:lang w:val="uz-Latn-UZ"/>
        </w:rPr>
        <w:t>202</w:t>
      </w:r>
      <w:r w:rsidR="006C0723" w:rsidRPr="00462B08">
        <w:rPr>
          <w:rFonts w:ascii="Times New Roman" w:hAnsi="Times New Roman" w:cs="Times New Roman"/>
          <w:b/>
          <w:bCs/>
          <w:sz w:val="28"/>
          <w:szCs w:val="28"/>
        </w:rPr>
        <w:t>6</w:t>
      </w:r>
      <w:r w:rsidR="00B56F0E" w:rsidRPr="00462B08">
        <w:rPr>
          <w:rFonts w:ascii="Times New Roman" w:hAnsi="Times New Roman" w:cs="Times New Roman"/>
          <w:b/>
          <w:bCs/>
          <w:sz w:val="28"/>
          <w:szCs w:val="28"/>
          <w:lang w:val="uz-Latn-UZ"/>
        </w:rPr>
        <w:t>-yilning I</w:t>
      </w:r>
      <w:r w:rsidR="00543CA6" w:rsidRPr="00462B08">
        <w:rPr>
          <w:rFonts w:ascii="Times New Roman" w:hAnsi="Times New Roman" w:cs="Times New Roman"/>
          <w:b/>
          <w:bCs/>
          <w:sz w:val="28"/>
          <w:szCs w:val="28"/>
          <w:lang w:val="uz-Latn-UZ"/>
        </w:rPr>
        <w:t>I</w:t>
      </w:r>
      <w:r w:rsidR="00F51A22">
        <w:rPr>
          <w:rFonts w:ascii="Times New Roman" w:hAnsi="Times New Roman" w:cs="Times New Roman"/>
          <w:b/>
          <w:bCs/>
          <w:sz w:val="28"/>
          <w:szCs w:val="28"/>
          <w:lang w:val="uz-Latn-UZ"/>
        </w:rPr>
        <w:t xml:space="preserve"> </w:t>
      </w:r>
      <w:r w:rsidR="00B56F0E" w:rsidRPr="00462B08">
        <w:rPr>
          <w:rFonts w:ascii="Times New Roman" w:hAnsi="Times New Roman" w:cs="Times New Roman"/>
          <w:b/>
          <w:bCs/>
          <w:sz w:val="28"/>
          <w:szCs w:val="28"/>
          <w:lang w:val="uz-Latn-UZ"/>
        </w:rPr>
        <w:t xml:space="preserve">choragi </w:t>
      </w:r>
      <w:r w:rsidR="003A39B1" w:rsidRPr="00462B08">
        <w:rPr>
          <w:rFonts w:ascii="Times New Roman" w:hAnsi="Times New Roman" w:cs="Times New Roman"/>
          <w:b/>
          <w:bCs/>
          <w:sz w:val="28"/>
          <w:szCs w:val="28"/>
          <w:lang w:val="uz-Latn-UZ"/>
        </w:rPr>
        <w:t xml:space="preserve">davomida </w:t>
      </w:r>
      <w:r w:rsidRPr="00462B08">
        <w:rPr>
          <w:rFonts w:ascii="Times New Roman" w:hAnsi="Times New Roman" w:cs="Times New Roman"/>
          <w:b/>
          <w:bCs/>
          <w:sz w:val="28"/>
          <w:szCs w:val="28"/>
          <w:lang w:val="uz-Latn-UZ"/>
        </w:rPr>
        <w:t xml:space="preserve">jismoniy va yuridik shaxslardan kelib tushgan murojaatlar va ularning </w:t>
      </w:r>
      <w:r w:rsidR="005B64CF" w:rsidRPr="00462B08">
        <w:rPr>
          <w:rFonts w:ascii="Times New Roman" w:hAnsi="Times New Roman" w:cs="Times New Roman"/>
          <w:b/>
          <w:bCs/>
          <w:sz w:val="28"/>
          <w:szCs w:val="28"/>
          <w:lang w:val="uz-Latn-UZ"/>
        </w:rPr>
        <w:t>ko‘rib chiqilishi yuzasidan tahliliy hisobot</w:t>
      </w:r>
    </w:p>
    <w:p w14:paraId="67630FE0" w14:textId="05551F67" w:rsidR="00F00A65" w:rsidRPr="00462B08" w:rsidRDefault="00F00A65" w:rsidP="00DD3821">
      <w:pPr>
        <w:spacing w:after="0"/>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 xml:space="preserve">Ushbu hisobot “KDB Bank O‘zbekiston” AJ (bundan buyon </w:t>
      </w:r>
      <w:r w:rsidR="00E613FF" w:rsidRPr="00462B08">
        <w:rPr>
          <w:rFonts w:ascii="Times New Roman" w:hAnsi="Times New Roman" w:cs="Times New Roman"/>
          <w:sz w:val="24"/>
          <w:szCs w:val="24"/>
          <w:lang w:val="uz-Latn-UZ"/>
        </w:rPr>
        <w:t>matnda</w:t>
      </w:r>
      <w:r w:rsidRPr="00462B08">
        <w:rPr>
          <w:rFonts w:ascii="Times New Roman" w:hAnsi="Times New Roman" w:cs="Times New Roman"/>
          <w:sz w:val="24"/>
          <w:szCs w:val="24"/>
          <w:lang w:val="uz-Latn-UZ"/>
        </w:rPr>
        <w:t xml:space="preserve"> </w:t>
      </w:r>
      <w:r w:rsidR="005E734D" w:rsidRPr="00462B08">
        <w:rPr>
          <w:rFonts w:ascii="Times New Roman" w:hAnsi="Times New Roman" w:cs="Times New Roman"/>
          <w:sz w:val="24"/>
          <w:szCs w:val="24"/>
          <w:lang w:val="uz-Latn-UZ"/>
        </w:rPr>
        <w:t xml:space="preserve">Bank </w:t>
      </w:r>
      <w:r w:rsidRPr="00462B08">
        <w:rPr>
          <w:rFonts w:ascii="Times New Roman" w:hAnsi="Times New Roman" w:cs="Times New Roman"/>
          <w:sz w:val="24"/>
          <w:szCs w:val="24"/>
          <w:lang w:val="uz-Latn-UZ"/>
        </w:rPr>
        <w:t xml:space="preserve">deb yuritiladi) Boshqaruvi o‘zining navbatdagi yig‘ilishida </w:t>
      </w:r>
      <w:r w:rsidR="00E613FF" w:rsidRPr="00462B08">
        <w:rPr>
          <w:rFonts w:ascii="Times New Roman" w:hAnsi="Times New Roman" w:cs="Times New Roman"/>
          <w:sz w:val="24"/>
          <w:szCs w:val="24"/>
          <w:lang w:val="uz-Latn-UZ"/>
        </w:rPr>
        <w:t xml:space="preserve">bankda </w:t>
      </w:r>
      <w:r w:rsidRPr="00462B08">
        <w:rPr>
          <w:rFonts w:ascii="Times New Roman" w:hAnsi="Times New Roman" w:cs="Times New Roman"/>
          <w:sz w:val="24"/>
          <w:szCs w:val="24"/>
          <w:lang w:val="uz-Latn-UZ"/>
        </w:rPr>
        <w:t xml:space="preserve">murojaatlar bilan ishlash holatini, murojaatlarda ko‘tarilgan salbiy holatlarni, tizimli kamchiliklarni va o‘ziga xos tavakkalchiliklarni muhokama qilgan holda iste’molchilarning huquqlari buzilishiga olib keluvchi tizimli kamchiliklarni bartaraf etish </w:t>
      </w:r>
      <w:r w:rsidR="00E613FF" w:rsidRPr="00462B08">
        <w:rPr>
          <w:rFonts w:ascii="Times New Roman" w:hAnsi="Times New Roman" w:cs="Times New Roman"/>
          <w:sz w:val="24"/>
          <w:szCs w:val="24"/>
          <w:lang w:val="uz-Latn-UZ"/>
        </w:rPr>
        <w:t>yuzasidan</w:t>
      </w:r>
      <w:r w:rsidRPr="00462B08">
        <w:rPr>
          <w:rFonts w:ascii="Times New Roman" w:hAnsi="Times New Roman" w:cs="Times New Roman"/>
          <w:sz w:val="24"/>
          <w:szCs w:val="24"/>
          <w:lang w:val="uz-Latn-UZ"/>
        </w:rPr>
        <w:t xml:space="preserve"> chora-tadbirlar ishlab chiqishi maqsadida tayyorlandi.</w:t>
      </w:r>
    </w:p>
    <w:p w14:paraId="42987625" w14:textId="109DAD28" w:rsidR="005B64CF" w:rsidRPr="00462B08" w:rsidRDefault="005B64CF" w:rsidP="005D6F05">
      <w:pPr>
        <w:pStyle w:val="ListParagraph"/>
        <w:numPr>
          <w:ilvl w:val="0"/>
          <w:numId w:val="7"/>
        </w:numPr>
        <w:spacing w:before="240"/>
        <w:ind w:left="426" w:hanging="357"/>
        <w:rPr>
          <w:rFonts w:ascii="Times New Roman" w:hAnsi="Times New Roman" w:cs="Times New Roman"/>
          <w:b/>
          <w:bCs/>
          <w:i/>
          <w:iCs/>
          <w:color w:val="2F5496" w:themeColor="accent1" w:themeShade="BF"/>
          <w:sz w:val="28"/>
          <w:szCs w:val="28"/>
          <w:lang w:val="uz-Latn-UZ"/>
        </w:rPr>
      </w:pPr>
      <w:r w:rsidRPr="00462B08">
        <w:rPr>
          <w:rFonts w:ascii="Times New Roman" w:hAnsi="Times New Roman" w:cs="Times New Roman"/>
          <w:b/>
          <w:bCs/>
          <w:i/>
          <w:iCs/>
          <w:color w:val="2F5496" w:themeColor="accent1" w:themeShade="BF"/>
          <w:sz w:val="28"/>
          <w:szCs w:val="28"/>
          <w:lang w:val="uz-Latn-UZ"/>
        </w:rPr>
        <w:t>Statistik ma’lumotnoma</w:t>
      </w:r>
    </w:p>
    <w:p w14:paraId="15F4EFA0" w14:textId="36C5827B"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Toshkent sh</w:t>
      </w:r>
      <w:r w:rsidR="00F8632E" w:rsidRPr="00462B08">
        <w:rPr>
          <w:rFonts w:ascii="Times New Roman" w:eastAsia="Times New Roman" w:hAnsi="Times New Roman" w:cs="Times New Roman"/>
          <w:lang w:val="uz-Latn-UZ"/>
        </w:rPr>
        <w:t>ahar</w:t>
      </w:r>
      <w:r w:rsidRPr="00462B08">
        <w:rPr>
          <w:rFonts w:ascii="Times New Roman" w:eastAsia="Times New Roman" w:hAnsi="Times New Roman" w:cs="Times New Roman"/>
          <w:lang w:val="uz-Latn-UZ"/>
        </w:rPr>
        <w:t xml:space="preserve">         </w:t>
      </w:r>
      <w:r w:rsidR="00F8632E"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ED7D31" w:themeColor="accent2"/>
          <w:lang w:val="uz-Latn-UZ"/>
        </w:rPr>
        <w:t>████████████████████████████████████</w:t>
      </w:r>
      <w:r w:rsidR="005E79E1" w:rsidRPr="00462B08">
        <w:rPr>
          <w:rFonts w:ascii="Times New Roman" w:eastAsia="Times New Roman" w:hAnsi="Times New Roman" w:cs="Times New Roman"/>
          <w:lang w:val="uz-Latn-UZ"/>
        </w:rPr>
        <w:t> </w:t>
      </w:r>
      <w:r w:rsidRPr="00462B08">
        <w:rPr>
          <w:rFonts w:ascii="Times New Roman" w:eastAsia="Times New Roman" w:hAnsi="Times New Roman" w:cs="Times New Roman"/>
          <w:lang w:val="uz-Latn-UZ"/>
        </w:rPr>
        <w:t xml:space="preserve"> 23 (62%) ● </w:t>
      </w:r>
    </w:p>
    <w:p w14:paraId="70999979" w14:textId="243ADB59"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Toshkent vil</w:t>
      </w:r>
      <w:r w:rsidR="00F8632E" w:rsidRPr="00462B08">
        <w:rPr>
          <w:rFonts w:ascii="Times New Roman" w:eastAsia="Times New Roman" w:hAnsi="Times New Roman" w:cs="Times New Roman"/>
          <w:lang w:val="uz-Latn-UZ"/>
        </w:rPr>
        <w:t>oyati</w:t>
      </w:r>
      <w:r w:rsidRPr="00462B08">
        <w:rPr>
          <w:rFonts w:ascii="Times New Roman" w:eastAsia="Times New Roman" w:hAnsi="Times New Roman" w:cs="Times New Roman"/>
          <w:lang w:val="uz-Latn-UZ"/>
        </w:rPr>
        <w:t xml:space="preserve">        </w:t>
      </w:r>
      <w:r w:rsidR="00F8632E"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FFD966" w:themeColor="accent4" w:themeTint="99"/>
          <w:lang w:val="uz-Latn-UZ"/>
        </w:rPr>
        <w:t>████████</w:t>
      </w:r>
      <w:r w:rsidRPr="00462B08">
        <w:rPr>
          <w:rFonts w:ascii="Times New Roman" w:eastAsia="Times New Roman" w:hAnsi="Times New Roman" w:cs="Times New Roman"/>
          <w:lang w:val="uz-Latn-UZ"/>
        </w:rPr>
        <w:t xml:space="preserve">░░░░░░░░░░░░░░░░░░░░░░░░░░░░  5 (14%) ● </w:t>
      </w:r>
    </w:p>
    <w:p w14:paraId="4FA1BAAE" w14:textId="16F7D668"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Qashqadaryo</w:t>
      </w:r>
      <w:r w:rsidR="00F8632E" w:rsidRPr="00462B08">
        <w:rPr>
          <w:rFonts w:ascii="Times New Roman" w:eastAsia="Times New Roman" w:hAnsi="Times New Roman" w:cs="Times New Roman"/>
          <w:lang w:val="uz-Latn-UZ"/>
        </w:rPr>
        <w:t xml:space="preserve"> viloyati</w:t>
      </w:r>
      <w:r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FFE599" w:themeColor="accent4" w:themeTint="66"/>
          <w:lang w:val="uz-Latn-UZ"/>
        </w:rPr>
        <w:t>█████</w:t>
      </w:r>
      <w:r w:rsidRPr="00462B08">
        <w:rPr>
          <w:rFonts w:ascii="Times New Roman" w:eastAsia="Times New Roman" w:hAnsi="Times New Roman" w:cs="Times New Roman"/>
          <w:lang w:val="uz-Latn-UZ"/>
        </w:rPr>
        <w:t xml:space="preserve">░░░░░░░░░░░░░░░░░░░░░░░░░░░░░░░  3 (8%)  ● </w:t>
      </w:r>
    </w:p>
    <w:p w14:paraId="0A838BA4" w14:textId="00FDA33A"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Surxondaryo</w:t>
      </w:r>
      <w:r w:rsidR="00F8632E" w:rsidRPr="00462B08">
        <w:rPr>
          <w:rFonts w:ascii="Times New Roman" w:eastAsia="Times New Roman" w:hAnsi="Times New Roman" w:cs="Times New Roman"/>
          <w:lang w:val="uz-Latn-UZ"/>
        </w:rPr>
        <w:t xml:space="preserve"> viloyati</w:t>
      </w:r>
      <w:r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FFF2CC" w:themeColor="accent4" w:themeTint="33"/>
          <w:lang w:val="uz-Latn-UZ"/>
        </w:rPr>
        <w:t>███</w:t>
      </w:r>
      <w:r w:rsidRPr="00462B08">
        <w:rPr>
          <w:rFonts w:ascii="Times New Roman" w:eastAsia="Times New Roman" w:hAnsi="Times New Roman" w:cs="Times New Roman"/>
          <w:lang w:val="uz-Latn-UZ"/>
        </w:rPr>
        <w:t xml:space="preserve">░░░░░░░░░░░░░░░░░░░░░░░░░░░░░░░░░  2 (5%)  ● </w:t>
      </w:r>
    </w:p>
    <w:p w14:paraId="7390D1AA" w14:textId="1D6B9CE6"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Xorazm</w:t>
      </w:r>
      <w:r w:rsidR="00F8632E" w:rsidRPr="00462B08">
        <w:rPr>
          <w:rFonts w:ascii="Times New Roman" w:eastAsia="Times New Roman" w:hAnsi="Times New Roman" w:cs="Times New Roman"/>
          <w:lang w:val="uz-Latn-UZ"/>
        </w:rPr>
        <w:t xml:space="preserve"> viloyati</w:t>
      </w:r>
      <w:r w:rsidRPr="00462B08">
        <w:rPr>
          <w:rFonts w:ascii="Times New Roman" w:eastAsia="Times New Roman" w:hAnsi="Times New Roman" w:cs="Times New Roman"/>
          <w:lang w:val="uz-Latn-UZ"/>
        </w:rPr>
        <w:t xml:space="preserve">     </w:t>
      </w:r>
      <w:r w:rsidR="00F8632E"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FFFF00"/>
          <w:lang w:val="uz-Latn-UZ"/>
        </w:rPr>
        <w:t>██</w:t>
      </w:r>
      <w:r w:rsidRPr="00462B08">
        <w:rPr>
          <w:rFonts w:ascii="Times New Roman" w:eastAsia="Times New Roman" w:hAnsi="Times New Roman" w:cs="Times New Roman"/>
          <w:lang w:val="uz-Latn-UZ"/>
        </w:rPr>
        <w:t xml:space="preserve">░░░░░░░░░░░░░░░░░░░░░░░░░░░░░░░░░░  1 (3%)  ● </w:t>
      </w:r>
    </w:p>
    <w:p w14:paraId="15C864B7" w14:textId="446ED934"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Andijon </w:t>
      </w:r>
      <w:r w:rsidR="00F8632E" w:rsidRPr="00462B08">
        <w:rPr>
          <w:rFonts w:ascii="Times New Roman" w:eastAsia="Times New Roman" w:hAnsi="Times New Roman" w:cs="Times New Roman"/>
          <w:lang w:val="uz-Latn-UZ"/>
        </w:rPr>
        <w:t>viloyati</w:t>
      </w:r>
      <w:r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C5E0B3" w:themeColor="accent6" w:themeTint="66"/>
          <w:lang w:val="uz-Latn-UZ"/>
        </w:rPr>
        <w:t>██</w:t>
      </w:r>
      <w:r w:rsidRPr="00462B08">
        <w:rPr>
          <w:rFonts w:ascii="Times New Roman" w:eastAsia="Times New Roman" w:hAnsi="Times New Roman" w:cs="Times New Roman"/>
          <w:lang w:val="uz-Latn-UZ"/>
        </w:rPr>
        <w:t xml:space="preserve">░░░░░░░░░░░░░░░░░░░░░░░░░░░░░░░░░░  1 (3%)  ● </w:t>
      </w:r>
    </w:p>
    <w:p w14:paraId="43CC80FE" w14:textId="6B8F8754"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Buxoro </w:t>
      </w:r>
      <w:r w:rsidR="00F8632E" w:rsidRPr="00462B08">
        <w:rPr>
          <w:rFonts w:ascii="Times New Roman" w:eastAsia="Times New Roman" w:hAnsi="Times New Roman" w:cs="Times New Roman"/>
          <w:lang w:val="uz-Latn-UZ"/>
        </w:rPr>
        <w:t>viloyati</w:t>
      </w:r>
      <w:r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A8D08D" w:themeColor="accent6" w:themeTint="99"/>
          <w:lang w:val="uz-Latn-UZ"/>
        </w:rPr>
        <w:t>██</w:t>
      </w:r>
      <w:r w:rsidRPr="00462B08">
        <w:rPr>
          <w:rFonts w:ascii="Times New Roman" w:eastAsia="Times New Roman" w:hAnsi="Times New Roman" w:cs="Times New Roman"/>
          <w:lang w:val="uz-Latn-UZ"/>
        </w:rPr>
        <w:t xml:space="preserve">░░░░░░░░░░░░░░░░░░░░░░░░░░░░░░░░░░  1 (3%)  ● </w:t>
      </w:r>
    </w:p>
    <w:p w14:paraId="177D792D" w14:textId="5ECCB2F0"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Qoraqalpogʻiston</w:t>
      </w:r>
      <w:r w:rsidR="00F8632E" w:rsidRPr="00462B08">
        <w:rPr>
          <w:rFonts w:ascii="Times New Roman" w:eastAsia="Times New Roman" w:hAnsi="Times New Roman" w:cs="Times New Roman"/>
          <w:lang w:val="uz-Latn-UZ"/>
        </w:rPr>
        <w:t xml:space="preserve"> Res.    </w:t>
      </w:r>
      <w:r w:rsidRPr="00462B08">
        <w:rPr>
          <w:rFonts w:ascii="Times New Roman" w:eastAsia="Times New Roman" w:hAnsi="Times New Roman" w:cs="Times New Roman"/>
          <w:lang w:val="uz-Latn-UZ"/>
        </w:rPr>
        <w:t xml:space="preserve">  </w:t>
      </w:r>
      <w:r w:rsidRPr="00462B08">
        <w:rPr>
          <w:rFonts w:ascii="Times New Roman" w:eastAsia="Times New Roman" w:hAnsi="Times New Roman" w:cs="Times New Roman"/>
          <w:color w:val="538135" w:themeColor="accent6" w:themeShade="BF"/>
          <w:lang w:val="uz-Latn-UZ"/>
        </w:rPr>
        <w:t>██</w:t>
      </w:r>
      <w:r w:rsidRPr="00462B08">
        <w:rPr>
          <w:rFonts w:ascii="Times New Roman" w:eastAsia="Times New Roman" w:hAnsi="Times New Roman" w:cs="Times New Roman"/>
          <w:lang w:val="uz-Latn-UZ"/>
        </w:rPr>
        <w:t xml:space="preserve">░░░░░░░░░░░░░░░░░░░░░░░░░░░░░░░░░░  1 (3%)  ● </w:t>
      </w:r>
    </w:p>
    <w:p w14:paraId="439E7236" w14:textId="60C31210" w:rsidR="00967337" w:rsidRPr="00462B08" w:rsidRDefault="00967337" w:rsidP="00967337">
      <w:pPr>
        <w:rPr>
          <w:rFonts w:ascii="Times New Roman" w:eastAsia="Times New Roman" w:hAnsi="Times New Roman" w:cs="Times New Roman"/>
          <w:lang w:val="uz-Latn-UZ"/>
        </w:rPr>
      </w:pPr>
      <w:r w:rsidRPr="00462B08">
        <w:rPr>
          <w:rFonts w:ascii="Times New Roman" w:eastAsia="Times New Roman" w:hAnsi="Times New Roman" w:cs="Times New Roman"/>
          <w:lang w:val="uz-Latn-UZ"/>
        </w:rPr>
        <w:t>────────────────────────────────────────────────────────────</w:t>
      </w:r>
    </w:p>
    <w:p w14:paraId="30906AAB" w14:textId="4F4FEB02" w:rsidR="00967337" w:rsidRPr="00462B08" w:rsidRDefault="00967337" w:rsidP="00967337">
      <w:pPr>
        <w:rPr>
          <w:rFonts w:ascii="Times New Roman" w:eastAsia="Times New Roman" w:hAnsi="Times New Roman" w:cs="Times New Roman"/>
          <w:lang w:val="uz-Latn-UZ"/>
        </w:rPr>
      </w:pPr>
      <w:r w:rsidRPr="00462B08">
        <w:rPr>
          <w:rFonts w:ascii="Segoe UI Emoji" w:eastAsia="Times New Roman" w:hAnsi="Segoe UI Emoji" w:cs="Segoe UI Emoji"/>
          <w:lang w:val="uz-Latn-UZ"/>
        </w:rPr>
        <w:t>🏢</w:t>
      </w:r>
      <w:r w:rsidRPr="00462B08">
        <w:rPr>
          <w:rFonts w:ascii="Times New Roman" w:eastAsia="Times New Roman" w:hAnsi="Times New Roman" w:cs="Times New Roman"/>
          <w:lang w:val="uz-Latn-UZ"/>
        </w:rPr>
        <w:t xml:space="preserve"> Yuridik shaxslar — 8 ta murojaat</w:t>
      </w:r>
    </w:p>
    <w:p w14:paraId="2F58EEED" w14:textId="1D75E7F2" w:rsidR="00967337" w:rsidRPr="00462B08" w:rsidRDefault="000F377F" w:rsidP="00967337">
      <w:pPr>
        <w:rPr>
          <w:rFonts w:ascii="Times New Roman" w:eastAsia="Times New Roman" w:hAnsi="Times New Roman" w:cs="Times New Roman"/>
          <w:lang w:val="uz-Latn-UZ"/>
        </w:rPr>
      </w:pPr>
      <w:r w:rsidRPr="00462B08">
        <w:rPr>
          <w:rFonts w:ascii="Times New Roman" w:eastAsia="Times New Roman" w:hAnsi="Times New Roman" w:cs="Times New Roman"/>
          <w:noProof/>
          <w:lang w:val="uz-Latn-UZ"/>
        </w:rPr>
        <w:drawing>
          <wp:anchor distT="0" distB="0" distL="114300" distR="114300" simplePos="0" relativeHeight="251658240" behindDoc="1" locked="0" layoutInCell="1" allowOverlap="1" wp14:anchorId="5D546E6C" wp14:editId="5D08E786">
            <wp:simplePos x="0" y="0"/>
            <wp:positionH relativeFrom="margin">
              <wp:align>center</wp:align>
            </wp:positionH>
            <wp:positionV relativeFrom="paragraph">
              <wp:posOffset>295380</wp:posOffset>
            </wp:positionV>
            <wp:extent cx="5486400" cy="3200400"/>
            <wp:effectExtent l="0" t="0" r="0" b="0"/>
            <wp:wrapTight wrapText="bothSides">
              <wp:wrapPolygon edited="0">
                <wp:start x="0" y="0"/>
                <wp:lineTo x="0" y="21471"/>
                <wp:lineTo x="21525" y="21471"/>
                <wp:lineTo x="2152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967337" w:rsidRPr="00462B08">
        <w:rPr>
          <w:rFonts w:ascii="Segoe UI Emoji" w:eastAsia="Times New Roman" w:hAnsi="Segoe UI Emoji" w:cs="Segoe UI Emoji"/>
          <w:lang w:val="uz-Latn-UZ"/>
        </w:rPr>
        <w:t>👤</w:t>
      </w:r>
      <w:r w:rsidR="00967337" w:rsidRPr="00462B08">
        <w:rPr>
          <w:rFonts w:ascii="Times New Roman" w:eastAsia="Times New Roman" w:hAnsi="Times New Roman" w:cs="Times New Roman"/>
          <w:lang w:val="uz-Latn-UZ"/>
        </w:rPr>
        <w:t xml:space="preserve"> Jismoniy shaxslar — 29 ta murojaat</w:t>
      </w:r>
    </w:p>
    <w:p w14:paraId="70B12CF5" w14:textId="3A407F02" w:rsidR="00EC11DB" w:rsidRDefault="00EC11DB" w:rsidP="00EC11DB">
      <w:pPr>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2026-yilning II choragi davomida turiga ko‘ra, Bank xodimlari tomonidan jami murojaatlarning 25 tasi ariza, 12 tasi shikoyat ko‘rinishida tasniflangan.</w:t>
      </w:r>
    </w:p>
    <w:p w14:paraId="57554285" w14:textId="77777777" w:rsidR="00057A18" w:rsidRPr="00462B08" w:rsidRDefault="00057A18" w:rsidP="00EC11DB">
      <w:pPr>
        <w:jc w:val="both"/>
        <w:rPr>
          <w:rFonts w:ascii="Times New Roman" w:hAnsi="Times New Roman" w:cs="Times New Roman"/>
          <w:sz w:val="24"/>
          <w:szCs w:val="24"/>
          <w:lang w:val="uz-Latn-UZ"/>
        </w:rPr>
      </w:pPr>
    </w:p>
    <w:p w14:paraId="51326412" w14:textId="68ACAFD6" w:rsidR="00385DAF" w:rsidRPr="00462B08" w:rsidRDefault="00385DAF" w:rsidP="005D6F05">
      <w:pPr>
        <w:pStyle w:val="ListParagraph"/>
        <w:numPr>
          <w:ilvl w:val="0"/>
          <w:numId w:val="7"/>
        </w:numPr>
        <w:ind w:left="426"/>
        <w:rPr>
          <w:rFonts w:ascii="Times New Roman" w:hAnsi="Times New Roman" w:cs="Times New Roman"/>
          <w:b/>
          <w:bCs/>
          <w:i/>
          <w:iCs/>
          <w:color w:val="2F5496" w:themeColor="accent1" w:themeShade="BF"/>
          <w:sz w:val="28"/>
          <w:szCs w:val="28"/>
          <w:lang w:val="uz-Latn-UZ"/>
        </w:rPr>
      </w:pPr>
      <w:bookmarkStart w:id="1" w:name="_Hlk234827653"/>
      <w:r w:rsidRPr="00462B08">
        <w:rPr>
          <w:rFonts w:ascii="Times New Roman" w:hAnsi="Times New Roman" w:cs="Times New Roman"/>
          <w:b/>
          <w:bCs/>
          <w:i/>
          <w:iCs/>
          <w:color w:val="2F5496" w:themeColor="accent1" w:themeShade="BF"/>
          <w:sz w:val="28"/>
          <w:szCs w:val="28"/>
          <w:lang w:val="uz-Latn-UZ"/>
        </w:rPr>
        <w:lastRenderedPageBreak/>
        <w:t>Murojaatlarda keltirilgan masalalar to‘g‘risida</w:t>
      </w:r>
    </w:p>
    <w:p w14:paraId="49EE21B1" w14:textId="321D10D1" w:rsidR="00542B72" w:rsidRPr="00462B08" w:rsidRDefault="00542B72" w:rsidP="00542B72">
      <w:pPr>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 xml:space="preserve">Bankka yuqoridagi jadvalda keltirilganidek </w:t>
      </w:r>
      <w:r w:rsidR="00536CF2" w:rsidRPr="00462B08">
        <w:rPr>
          <w:rFonts w:ascii="Times New Roman" w:hAnsi="Times New Roman" w:cs="Times New Roman"/>
          <w:sz w:val="24"/>
          <w:szCs w:val="24"/>
          <w:lang w:val="uz-Latn-UZ"/>
        </w:rPr>
        <w:t>turli xil</w:t>
      </w:r>
      <w:r w:rsidRPr="00462B08">
        <w:rPr>
          <w:rFonts w:ascii="Times New Roman" w:hAnsi="Times New Roman" w:cs="Times New Roman"/>
          <w:sz w:val="24"/>
          <w:szCs w:val="24"/>
          <w:lang w:val="uz-Latn-UZ"/>
        </w:rPr>
        <w:t xml:space="preserve"> mavzularda murojaatlar kelib tush</w:t>
      </w:r>
      <w:r w:rsidR="00536CF2" w:rsidRPr="00462B08">
        <w:rPr>
          <w:rFonts w:ascii="Times New Roman" w:hAnsi="Times New Roman" w:cs="Times New Roman"/>
          <w:sz w:val="24"/>
          <w:szCs w:val="24"/>
          <w:lang w:val="uz-Latn-UZ"/>
        </w:rPr>
        <w:t>gan bo‘lib, u</w:t>
      </w:r>
      <w:r w:rsidRPr="00462B08">
        <w:rPr>
          <w:rFonts w:ascii="Times New Roman" w:hAnsi="Times New Roman" w:cs="Times New Roman"/>
          <w:sz w:val="24"/>
          <w:szCs w:val="24"/>
          <w:lang w:val="uz-Latn-UZ"/>
        </w:rPr>
        <w:t>larning mazmuniga qisqa sharhlar quyida yoritib beriladi.</w:t>
      </w:r>
    </w:p>
    <w:p w14:paraId="625FBBA4" w14:textId="550D8DCB" w:rsidR="008D6279" w:rsidRPr="00462B08" w:rsidRDefault="00EF64F2" w:rsidP="00EC602C">
      <w:pPr>
        <w:spacing w:after="120"/>
        <w:jc w:val="both"/>
        <w:rPr>
          <w:rFonts w:ascii="Times New Roman" w:hAnsi="Times New Roman" w:cs="Times New Roman"/>
          <w:b/>
          <w:bCs/>
          <w:sz w:val="24"/>
          <w:szCs w:val="24"/>
          <w:lang w:val="uz-Latn-UZ"/>
        </w:rPr>
      </w:pPr>
      <w:r w:rsidRPr="00462B08">
        <w:rPr>
          <w:rFonts w:ascii="Times New Roman" w:hAnsi="Times New Roman" w:cs="Times New Roman"/>
          <w:b/>
          <w:bCs/>
          <w:sz w:val="24"/>
          <w:szCs w:val="24"/>
          <w:lang w:val="uz-Latn-UZ"/>
        </w:rPr>
        <w:t>1.</w:t>
      </w:r>
      <w:r w:rsidR="00F00A65" w:rsidRPr="00462B08">
        <w:rPr>
          <w:rFonts w:ascii="Times New Roman" w:hAnsi="Times New Roman" w:cs="Times New Roman"/>
          <w:b/>
          <w:bCs/>
          <w:sz w:val="24"/>
          <w:szCs w:val="24"/>
          <w:lang w:val="uz-Latn-UZ"/>
        </w:rPr>
        <w:t xml:space="preserve"> </w:t>
      </w:r>
      <w:r w:rsidR="00CC16A4" w:rsidRPr="00462B08">
        <w:rPr>
          <w:rFonts w:ascii="Times New Roman" w:hAnsi="Times New Roman" w:cs="Times New Roman"/>
          <w:b/>
          <w:bCs/>
          <w:sz w:val="24"/>
          <w:szCs w:val="24"/>
          <w:lang w:val="uz-Latn-UZ"/>
        </w:rPr>
        <w:t>To</w:t>
      </w:r>
      <w:r w:rsidR="004E5D62">
        <w:rPr>
          <w:rFonts w:ascii="Times New Roman" w:hAnsi="Times New Roman" w:cs="Times New Roman"/>
          <w:b/>
          <w:bCs/>
          <w:sz w:val="24"/>
          <w:szCs w:val="24"/>
          <w:lang w:val="uz-Latn-UZ"/>
        </w:rPr>
        <w:t>‘</w:t>
      </w:r>
      <w:r w:rsidR="00CC16A4" w:rsidRPr="00462B08">
        <w:rPr>
          <w:rFonts w:ascii="Times New Roman" w:hAnsi="Times New Roman" w:cs="Times New Roman"/>
          <w:b/>
          <w:bCs/>
          <w:sz w:val="24"/>
          <w:szCs w:val="24"/>
          <w:lang w:val="uz-Latn-UZ"/>
        </w:rPr>
        <w:t>lov tizimi va naqd pulsiz hisob-kitoblar masalasida</w:t>
      </w:r>
    </w:p>
    <w:p w14:paraId="5DCAA8C4" w14:textId="1E50A334" w:rsidR="00CC16A4" w:rsidRPr="00462B08" w:rsidRDefault="00CC16A4" w:rsidP="00995BF4">
      <w:pPr>
        <w:spacing w:after="120"/>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 xml:space="preserve">Murojaatchi INPS (jamg‘arib boriladigan pensiya tizimi) bo‘yicha to‘lovlarni o‘tkazishda tijorat banklari komissiya undirishga haqli yoki </w:t>
      </w:r>
      <w:r w:rsidR="004E5D62">
        <w:rPr>
          <w:rFonts w:ascii="Times New Roman" w:hAnsi="Times New Roman" w:cs="Times New Roman"/>
          <w:sz w:val="24"/>
          <w:szCs w:val="24"/>
          <w:lang w:val="uz-Latn-UZ"/>
        </w:rPr>
        <w:t>haqli emasligi</w:t>
      </w:r>
      <w:r w:rsidRPr="00462B08">
        <w:rPr>
          <w:rFonts w:ascii="Times New Roman" w:hAnsi="Times New Roman" w:cs="Times New Roman"/>
          <w:sz w:val="24"/>
          <w:szCs w:val="24"/>
          <w:lang w:val="uz-Latn-UZ"/>
        </w:rPr>
        <w:t xml:space="preserve"> yuzasidan Markaziy bankning rasmiy tushuntirishini so‘ragan. Murojaatda Prezident Farmoni hamda “Fuqarolarning jamg‘arib boriladigan pensiya ta’minoti to‘g‘risida”gi Qonun normalariga havola qilinib, mazkur to‘lovlar majburiy to‘lov sifatida e’tirof etilishi masalasi ko‘tarilgan. Shuningdek, murojaatchi ushbu masala bo‘yicha javobni vakolatli tartibga soluvchi organ sifatida bevosita Markaziy bankdan taqdim etishni so‘ragan.</w:t>
      </w:r>
    </w:p>
    <w:p w14:paraId="4545C579" w14:textId="4FB5DEE7" w:rsidR="00CC16A4" w:rsidRPr="00462B08" w:rsidRDefault="00EF64F2" w:rsidP="00995BF4">
      <w:pPr>
        <w:spacing w:after="120"/>
        <w:jc w:val="both"/>
        <w:rPr>
          <w:rFonts w:ascii="Times New Roman" w:hAnsi="Times New Roman" w:cs="Times New Roman"/>
          <w:b/>
          <w:bCs/>
          <w:sz w:val="24"/>
          <w:szCs w:val="24"/>
          <w:lang w:val="uz-Latn-UZ"/>
        </w:rPr>
      </w:pPr>
      <w:r w:rsidRPr="00462B08">
        <w:rPr>
          <w:rFonts w:ascii="Times New Roman" w:hAnsi="Times New Roman" w:cs="Times New Roman"/>
          <w:b/>
          <w:bCs/>
          <w:sz w:val="24"/>
          <w:szCs w:val="24"/>
          <w:lang w:val="uz-Latn-UZ"/>
        </w:rPr>
        <w:t>2.</w:t>
      </w:r>
      <w:r w:rsidR="00BB481C" w:rsidRPr="00462B08">
        <w:rPr>
          <w:rFonts w:ascii="Times New Roman" w:hAnsi="Times New Roman" w:cs="Times New Roman"/>
          <w:b/>
          <w:bCs/>
          <w:sz w:val="24"/>
          <w:szCs w:val="24"/>
          <w:lang w:val="uz-Latn-UZ"/>
        </w:rPr>
        <w:t xml:space="preserve"> </w:t>
      </w:r>
      <w:r w:rsidR="00CC16A4" w:rsidRPr="00462B08">
        <w:rPr>
          <w:rFonts w:ascii="Times New Roman" w:hAnsi="Times New Roman" w:cs="Times New Roman"/>
          <w:b/>
          <w:bCs/>
          <w:sz w:val="24"/>
          <w:szCs w:val="24"/>
          <w:lang w:val="uz-Latn-UZ"/>
        </w:rPr>
        <w:t>Bаn</w:t>
      </w:r>
      <w:r w:rsidR="00F11345">
        <w:rPr>
          <w:rFonts w:ascii="Times New Roman" w:hAnsi="Times New Roman" w:cs="Times New Roman"/>
          <w:b/>
          <w:bCs/>
          <w:sz w:val="24"/>
          <w:szCs w:val="24"/>
          <w:lang w:val="uz-Latn-UZ"/>
        </w:rPr>
        <w:t>k</w:t>
      </w:r>
      <w:r w:rsidR="00CC16A4" w:rsidRPr="00462B08">
        <w:rPr>
          <w:rFonts w:ascii="Times New Roman" w:hAnsi="Times New Roman" w:cs="Times New Roman"/>
          <w:b/>
          <w:bCs/>
          <w:sz w:val="24"/>
          <w:szCs w:val="24"/>
          <w:lang w:val="uz-Latn-UZ"/>
        </w:rPr>
        <w:t xml:space="preserve"> omonati vа boshqa depozit operatsiyalari</w:t>
      </w:r>
    </w:p>
    <w:p w14:paraId="54D8F756" w14:textId="79FB4940" w:rsidR="00CC16A4" w:rsidRPr="00462B08" w:rsidRDefault="00CC16A4" w:rsidP="00995BF4">
      <w:pPr>
        <w:spacing w:after="120"/>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 xml:space="preserve">Murojaatchi marhum yaqin qarindoshi Yugay Pavelning banklarda, jumladan valyuta hisobvaraqlari mavjud bo‘lishi ehtimoli tufayli O‘zbekiston banklariga tegishli so‘rov yuborishda ko‘mak so‘ragan. Murojaatda marhumning 2023-yil 16-dekabrda vafot etgani qayd etilgan hamda uning nomidagi hisobvaraqlar to‘g‘risida ma’lumot olishga yordam berish </w:t>
      </w:r>
      <w:r w:rsidR="00567489">
        <w:rPr>
          <w:rFonts w:ascii="Times New Roman" w:hAnsi="Times New Roman" w:cs="Times New Roman"/>
          <w:sz w:val="24"/>
          <w:szCs w:val="24"/>
          <w:lang w:val="uz-Latn-UZ"/>
        </w:rPr>
        <w:t>so‘ralgan</w:t>
      </w:r>
      <w:r w:rsidRPr="00462B08">
        <w:rPr>
          <w:rFonts w:ascii="Times New Roman" w:hAnsi="Times New Roman" w:cs="Times New Roman"/>
          <w:sz w:val="24"/>
          <w:szCs w:val="24"/>
          <w:lang w:val="uz-Latn-UZ"/>
        </w:rPr>
        <w:t>.</w:t>
      </w:r>
    </w:p>
    <w:p w14:paraId="1C0DE5DA" w14:textId="4ABD085A" w:rsidR="00536CF2" w:rsidRPr="00462B08" w:rsidRDefault="00EF64F2" w:rsidP="00995BF4">
      <w:pPr>
        <w:spacing w:after="120"/>
        <w:jc w:val="both"/>
        <w:rPr>
          <w:rFonts w:ascii="Times New Roman" w:hAnsi="Times New Roman" w:cs="Times New Roman"/>
          <w:b/>
          <w:bCs/>
          <w:sz w:val="24"/>
          <w:szCs w:val="24"/>
          <w:lang w:val="uz-Latn-UZ"/>
        </w:rPr>
      </w:pPr>
      <w:r w:rsidRPr="00462B08">
        <w:rPr>
          <w:rFonts w:ascii="Times New Roman" w:hAnsi="Times New Roman" w:cs="Times New Roman"/>
          <w:b/>
          <w:bCs/>
          <w:sz w:val="24"/>
          <w:szCs w:val="24"/>
          <w:lang w:val="uz-Latn-UZ"/>
        </w:rPr>
        <w:t>3.</w:t>
      </w:r>
      <w:r w:rsidR="00F277E0" w:rsidRPr="00462B08">
        <w:rPr>
          <w:rFonts w:ascii="Times New Roman" w:hAnsi="Times New Roman" w:cs="Times New Roman"/>
          <w:b/>
          <w:bCs/>
          <w:sz w:val="24"/>
          <w:szCs w:val="24"/>
          <w:lang w:val="uz-Latn-UZ"/>
        </w:rPr>
        <w:t xml:space="preserve"> </w:t>
      </w:r>
      <w:bookmarkEnd w:id="0"/>
      <w:r w:rsidR="005B0A50" w:rsidRPr="00462B08">
        <w:rPr>
          <w:rFonts w:ascii="Times New Roman" w:hAnsi="Times New Roman" w:cs="Times New Roman"/>
          <w:b/>
          <w:bCs/>
          <w:sz w:val="24"/>
          <w:szCs w:val="24"/>
          <w:lang w:val="uz-Latn-UZ"/>
        </w:rPr>
        <w:t>Bank kreditlari va kredit operatsiyalari</w:t>
      </w:r>
    </w:p>
    <w:p w14:paraId="1285AC2C" w14:textId="061D4E56" w:rsidR="005B0A50" w:rsidRPr="00462B08" w:rsidRDefault="005B0A50" w:rsidP="00CC35D0">
      <w:pPr>
        <w:spacing w:after="120"/>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Murojaatlarda fuqarolar bank xizmatlari va kredit munosabatlari bo‘yicha yuzaga kelgan muammolar, jumladan ruxsatsiz kredit rasmiylashtirilishi, kreditlarni so‘ndirishdagi texnik va tarif masalalari, shuningdek davlat organlari faoliyati hamda sud qarorlari ustidan shikoyatlar bo‘yicha o‘z huquqlarini tiklash va amaliy yordam ko‘rsatishni so‘raganlar.</w:t>
      </w:r>
    </w:p>
    <w:p w14:paraId="2555E47F" w14:textId="43C31DA6" w:rsidR="008E2FC8" w:rsidRPr="00462B08" w:rsidRDefault="00EF64F2" w:rsidP="00CC35D0">
      <w:pPr>
        <w:spacing w:after="120"/>
        <w:jc w:val="both"/>
        <w:rPr>
          <w:rFonts w:ascii="Times New Roman" w:hAnsi="Times New Roman" w:cs="Times New Roman"/>
          <w:sz w:val="24"/>
          <w:szCs w:val="24"/>
          <w:lang w:val="uz-Latn-UZ"/>
        </w:rPr>
      </w:pPr>
      <w:r w:rsidRPr="00462B08">
        <w:rPr>
          <w:rFonts w:ascii="Times New Roman" w:hAnsi="Times New Roman" w:cs="Times New Roman"/>
          <w:b/>
          <w:bCs/>
          <w:sz w:val="24"/>
          <w:szCs w:val="24"/>
          <w:lang w:val="uz-Latn-UZ"/>
        </w:rPr>
        <w:t xml:space="preserve">4. </w:t>
      </w:r>
      <w:r w:rsidR="005B0A50" w:rsidRPr="00462B08">
        <w:rPr>
          <w:rFonts w:ascii="Times New Roman" w:hAnsi="Times New Roman" w:cs="Times New Roman"/>
          <w:b/>
          <w:bCs/>
          <w:sz w:val="24"/>
          <w:szCs w:val="24"/>
          <w:lang w:val="uz-Latn-UZ"/>
        </w:rPr>
        <w:t>Plastik kartochka va terminallar masalasida</w:t>
      </w:r>
    </w:p>
    <w:p w14:paraId="400808FD" w14:textId="62A0EFE3" w:rsidR="00BC56D1" w:rsidRPr="00462B08" w:rsidRDefault="00BC56D1" w:rsidP="00CC35D0">
      <w:pPr>
        <w:spacing w:after="120"/>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Murojaatlarda asosan bank xizmatlari va to‘lov operatsiyalari bo‘yicha e’tirozlar bildirilgan bo‘lib, ular komissiya va tariflarning qo‘llanilishi, texnik uzilishlar va ular haqida xabardor qilish tartibi, mobil ilova funksionalligi, noto‘g‘ri undirilgan mablag‘larni qaytarish hamda bank kartalaridan naqd pul yechish bilan bog‘liq masalalar yuzasidan tushuntirish berish va amaliy yordam ko‘rsatishni so‘raganlar.</w:t>
      </w:r>
    </w:p>
    <w:p w14:paraId="5BECAB02" w14:textId="428D274D" w:rsidR="00995BF4" w:rsidRPr="00462B08" w:rsidRDefault="00BC56D1" w:rsidP="00995BF4">
      <w:pPr>
        <w:spacing w:after="120"/>
        <w:jc w:val="both"/>
        <w:rPr>
          <w:rFonts w:ascii="Times New Roman" w:hAnsi="Times New Roman" w:cs="Times New Roman"/>
          <w:b/>
          <w:bCs/>
          <w:sz w:val="24"/>
          <w:szCs w:val="24"/>
          <w:lang w:val="uz-Latn-UZ"/>
        </w:rPr>
      </w:pPr>
      <w:r w:rsidRPr="00462B08">
        <w:rPr>
          <w:rFonts w:ascii="Times New Roman" w:hAnsi="Times New Roman" w:cs="Times New Roman"/>
          <w:b/>
          <w:bCs/>
          <w:sz w:val="24"/>
          <w:szCs w:val="24"/>
          <w:lang w:val="uz-Latn-UZ"/>
        </w:rPr>
        <w:t>5</w:t>
      </w:r>
      <w:r w:rsidR="00995BF4" w:rsidRPr="00462B08">
        <w:rPr>
          <w:rFonts w:ascii="Times New Roman" w:hAnsi="Times New Roman" w:cs="Times New Roman"/>
          <w:b/>
          <w:bCs/>
          <w:sz w:val="24"/>
          <w:szCs w:val="24"/>
          <w:lang w:val="uz-Latn-UZ"/>
        </w:rPr>
        <w:t>. Boshqa masalalar</w:t>
      </w:r>
    </w:p>
    <w:p w14:paraId="25F3779F" w14:textId="5622AA10" w:rsidR="00BC56D1" w:rsidRPr="00462B08" w:rsidRDefault="00BC56D1" w:rsidP="00AE4BC4">
      <w:pPr>
        <w:spacing w:after="120"/>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Murojaatlarda asosan bank hisobvaraqlari, omonatlar va bank kartalari bo‘yicha ma’lumot olish, firibgarlik holatlari munosabati bilan kredit rasmiylashtirilishining oldini olish hamda mavjud kreditlarni tekshirish, mobil ilovalar va P2P o‘tkazmalar bo‘yicha cheklovlar yuzasidan tushuntirish berish, shuningdek sud, davlat organlari va boshqa tashkilotlar bilan bog‘liq huquqiy hamda mulkiy masalalarda amaliy yordam ko‘rsatish so‘ralgan. Ayrim murojaatlar yirik loyihalarni moliyalashtirish shartlarini o‘zgartirish va sud hujjatlarini ijro etish uchun zarur bank ma’lumotlarini taqdim etish masalalariga ham taalluqlidir.</w:t>
      </w:r>
    </w:p>
    <w:p w14:paraId="0AE31463" w14:textId="4C7AC52F" w:rsidR="00BC56D1" w:rsidRPr="00462B08" w:rsidRDefault="00BC56D1" w:rsidP="00AE4BC4">
      <w:pPr>
        <w:spacing w:after="120"/>
        <w:jc w:val="both"/>
        <w:rPr>
          <w:rFonts w:ascii="Times New Roman" w:hAnsi="Times New Roman" w:cs="Times New Roman"/>
          <w:b/>
          <w:bCs/>
          <w:sz w:val="24"/>
          <w:szCs w:val="24"/>
          <w:lang w:val="en-US"/>
        </w:rPr>
      </w:pPr>
      <w:r w:rsidRPr="00462B08">
        <w:rPr>
          <w:rFonts w:ascii="Times New Roman" w:hAnsi="Times New Roman" w:cs="Times New Roman"/>
          <w:b/>
          <w:bCs/>
          <w:sz w:val="24"/>
          <w:szCs w:val="24"/>
          <w:lang w:val="uz-Latn-UZ"/>
        </w:rPr>
        <w:t xml:space="preserve">6. </w:t>
      </w:r>
      <w:r w:rsidRPr="00462B08">
        <w:rPr>
          <w:rFonts w:ascii="Times New Roman" w:hAnsi="Times New Roman" w:cs="Times New Roman"/>
          <w:b/>
          <w:bCs/>
          <w:sz w:val="24"/>
          <w:szCs w:val="24"/>
          <w:lang w:val="en-US"/>
        </w:rPr>
        <w:t>Valyutani tartibga solish va valyutani nazorat qilish</w:t>
      </w:r>
    </w:p>
    <w:p w14:paraId="2D7FA30B" w14:textId="1CFCA71E" w:rsidR="0064646B" w:rsidRPr="00462B08" w:rsidRDefault="0064646B" w:rsidP="0018225E">
      <w:pPr>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Murojaatlarda tashqi iqtisodiy faoliyat va valyuta operatsiyalariga oid masalalar ko‘tarilib, tashqi savdo shartnomalari bo‘yicha qarzdorlikni hisobdan chiqarish va valyuta nazoratidan chiqarish, xorijiy ishtirokchilarga ulush qiymatini to‘lash maqsadida chet el valyutasini sotib olish hamda mablag‘larni xorijga o‘tkazish imkoniyatlari, shuningdek xizmat ko‘rsatuvchi bank tomonidan valyuta to‘lovlarini rad etishning qonuniyligi va tegishli normativ hujjatlarning qo‘llanilishi yuzasidan tushuntirish va amaliy yordam so‘ralgan.</w:t>
      </w:r>
    </w:p>
    <w:p w14:paraId="3FECFABA" w14:textId="27EF42F7" w:rsidR="0064646B" w:rsidRPr="00462B08" w:rsidRDefault="0064646B" w:rsidP="0064646B">
      <w:pPr>
        <w:rPr>
          <w:rFonts w:ascii="Times New Roman" w:hAnsi="Times New Roman" w:cs="Times New Roman"/>
          <w:b/>
          <w:bCs/>
          <w:sz w:val="24"/>
          <w:szCs w:val="24"/>
          <w:lang w:val="uz-Latn-UZ"/>
        </w:rPr>
      </w:pPr>
      <w:r w:rsidRPr="00462B08">
        <w:rPr>
          <w:rFonts w:ascii="Times New Roman" w:hAnsi="Times New Roman" w:cs="Times New Roman"/>
          <w:b/>
          <w:bCs/>
          <w:sz w:val="24"/>
          <w:szCs w:val="24"/>
          <w:lang w:val="uz-Latn-UZ"/>
        </w:rPr>
        <w:t>7. Bank xodimlarining xatti-harakatlari masalasida</w:t>
      </w:r>
    </w:p>
    <w:p w14:paraId="1342A664" w14:textId="7C74BE08" w:rsidR="00F840B0" w:rsidRPr="00462B08" w:rsidRDefault="00F840B0" w:rsidP="000E551B">
      <w:pPr>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 xml:space="preserve">Murojaatlarda diplomatik vakolatxona hisobvaraqlariga nisbatan soliq talabi qo‘llanilishi va bank tomonidan mijozni xabardor qilish tartibiga rioya etilganligi yuzasidan e’tirozlar, shuningdek yuridik </w:t>
      </w:r>
      <w:r w:rsidRPr="00462B08">
        <w:rPr>
          <w:rFonts w:ascii="Times New Roman" w:hAnsi="Times New Roman" w:cs="Times New Roman"/>
          <w:sz w:val="24"/>
          <w:szCs w:val="24"/>
          <w:lang w:val="uz-Latn-UZ"/>
        </w:rPr>
        <w:lastRenderedPageBreak/>
        <w:t>shaxs hisobvarag‘idan mablag‘larning yechilishi qonuniyligini hamda bank xodimlarining xatti-harakatlarini tekshirish va ularga huquqiy baho berish masalalari ko‘tarilgan.</w:t>
      </w:r>
    </w:p>
    <w:bookmarkEnd w:id="1"/>
    <w:p w14:paraId="3C5FFAE6" w14:textId="73C86598" w:rsidR="00D765C8" w:rsidRPr="00462B08" w:rsidRDefault="00D765C8" w:rsidP="005D6F05">
      <w:pPr>
        <w:pStyle w:val="ListParagraph"/>
        <w:numPr>
          <w:ilvl w:val="0"/>
          <w:numId w:val="7"/>
        </w:numPr>
        <w:spacing w:after="120"/>
        <w:ind w:left="426"/>
        <w:jc w:val="both"/>
        <w:rPr>
          <w:rFonts w:ascii="Times New Roman" w:hAnsi="Times New Roman" w:cs="Times New Roman"/>
          <w:b/>
          <w:bCs/>
          <w:i/>
          <w:iCs/>
          <w:color w:val="2F5496" w:themeColor="accent1" w:themeShade="BF"/>
          <w:sz w:val="28"/>
          <w:szCs w:val="28"/>
          <w:lang w:val="uz-Latn-UZ"/>
        </w:rPr>
      </w:pPr>
      <w:r w:rsidRPr="00462B08">
        <w:rPr>
          <w:rFonts w:ascii="Times New Roman" w:hAnsi="Times New Roman" w:cs="Times New Roman"/>
          <w:b/>
          <w:bCs/>
          <w:i/>
          <w:iCs/>
          <w:color w:val="2F5496" w:themeColor="accent1" w:themeShade="BF"/>
          <w:sz w:val="28"/>
          <w:szCs w:val="28"/>
          <w:lang w:val="uz-Latn-UZ"/>
        </w:rPr>
        <w:t>Murojaatlar</w:t>
      </w:r>
      <w:r w:rsidR="00536CF2" w:rsidRPr="00462B08">
        <w:rPr>
          <w:rFonts w:ascii="Times New Roman" w:hAnsi="Times New Roman" w:cs="Times New Roman"/>
          <w:b/>
          <w:bCs/>
          <w:i/>
          <w:iCs/>
          <w:color w:val="2F5496" w:themeColor="accent1" w:themeShade="BF"/>
          <w:sz w:val="28"/>
          <w:szCs w:val="28"/>
          <w:lang w:val="uz-Latn-UZ"/>
        </w:rPr>
        <w:t>ning ko‘rib chiqilishi</w:t>
      </w:r>
      <w:r w:rsidR="00651640" w:rsidRPr="00462B08">
        <w:rPr>
          <w:rFonts w:ascii="Times New Roman" w:hAnsi="Times New Roman" w:cs="Times New Roman"/>
          <w:b/>
          <w:bCs/>
          <w:i/>
          <w:iCs/>
          <w:color w:val="2F5496" w:themeColor="accent1" w:themeShade="BF"/>
          <w:sz w:val="28"/>
          <w:szCs w:val="28"/>
          <w:lang w:val="uz-Latn-UZ"/>
        </w:rPr>
        <w:t xml:space="preserve">, </w:t>
      </w:r>
      <w:r w:rsidR="00536CF2" w:rsidRPr="00462B08">
        <w:rPr>
          <w:rFonts w:ascii="Times New Roman" w:hAnsi="Times New Roman" w:cs="Times New Roman"/>
          <w:b/>
          <w:bCs/>
          <w:i/>
          <w:iCs/>
          <w:color w:val="2F5496" w:themeColor="accent1" w:themeShade="BF"/>
          <w:sz w:val="28"/>
          <w:szCs w:val="28"/>
          <w:lang w:val="uz-Latn-UZ"/>
        </w:rPr>
        <w:t xml:space="preserve">tizimli </w:t>
      </w:r>
      <w:r w:rsidR="006D5BBB" w:rsidRPr="00462B08">
        <w:rPr>
          <w:rFonts w:ascii="Times New Roman" w:hAnsi="Times New Roman" w:cs="Times New Roman"/>
          <w:b/>
          <w:bCs/>
          <w:i/>
          <w:iCs/>
          <w:color w:val="2F5496" w:themeColor="accent1" w:themeShade="BF"/>
          <w:sz w:val="28"/>
          <w:szCs w:val="28"/>
          <w:lang w:val="uz-Latn-UZ"/>
        </w:rPr>
        <w:t>kamchiliklar</w:t>
      </w:r>
      <w:r w:rsidR="00536CF2" w:rsidRPr="00462B08">
        <w:rPr>
          <w:rFonts w:ascii="Times New Roman" w:hAnsi="Times New Roman" w:cs="Times New Roman"/>
          <w:b/>
          <w:bCs/>
          <w:i/>
          <w:iCs/>
          <w:color w:val="2F5496" w:themeColor="accent1" w:themeShade="BF"/>
          <w:sz w:val="28"/>
          <w:szCs w:val="28"/>
          <w:lang w:val="uz-Latn-UZ"/>
        </w:rPr>
        <w:t xml:space="preserve"> </w:t>
      </w:r>
      <w:r w:rsidR="00651640" w:rsidRPr="00462B08">
        <w:rPr>
          <w:rFonts w:ascii="Times New Roman" w:hAnsi="Times New Roman" w:cs="Times New Roman"/>
          <w:b/>
          <w:bCs/>
          <w:i/>
          <w:iCs/>
          <w:color w:val="2F5496" w:themeColor="accent1" w:themeShade="BF"/>
          <w:sz w:val="28"/>
          <w:szCs w:val="28"/>
          <w:lang w:val="uz-Latn-UZ"/>
        </w:rPr>
        <w:t xml:space="preserve">va ularni bartaraf etish bo‘yicha chora-tadbirlar </w:t>
      </w:r>
      <w:r w:rsidR="00536CF2" w:rsidRPr="00462B08">
        <w:rPr>
          <w:rFonts w:ascii="Times New Roman" w:hAnsi="Times New Roman" w:cs="Times New Roman"/>
          <w:b/>
          <w:bCs/>
          <w:i/>
          <w:iCs/>
          <w:color w:val="2F5496" w:themeColor="accent1" w:themeShade="BF"/>
          <w:sz w:val="28"/>
          <w:szCs w:val="28"/>
          <w:lang w:val="uz-Latn-UZ"/>
        </w:rPr>
        <w:t>to‘g‘risida</w:t>
      </w:r>
    </w:p>
    <w:p w14:paraId="739520F8" w14:textId="4487DE93" w:rsidR="00377595" w:rsidRPr="00462B08" w:rsidRDefault="00377595" w:rsidP="00377595">
      <w:pPr>
        <w:jc w:val="both"/>
        <w:rPr>
          <w:rFonts w:ascii="Times New Roman" w:hAnsi="Times New Roman" w:cs="Times New Roman"/>
          <w:sz w:val="24"/>
          <w:szCs w:val="24"/>
          <w:lang w:val="uz-Latn-UZ"/>
        </w:rPr>
      </w:pPr>
      <w:r w:rsidRPr="00462B08">
        <w:rPr>
          <w:rFonts w:ascii="Times New Roman" w:hAnsi="Times New Roman" w:cs="Times New Roman"/>
          <w:sz w:val="24"/>
          <w:szCs w:val="24"/>
          <w:lang w:val="uz-Latn-UZ"/>
        </w:rPr>
        <w:t>202</w:t>
      </w:r>
      <w:r w:rsidR="00761B20" w:rsidRPr="00462B08">
        <w:rPr>
          <w:rFonts w:ascii="Times New Roman" w:hAnsi="Times New Roman" w:cs="Times New Roman"/>
          <w:sz w:val="24"/>
          <w:szCs w:val="24"/>
          <w:lang w:val="uz-Latn-UZ"/>
        </w:rPr>
        <w:t>6</w:t>
      </w:r>
      <w:r w:rsidRPr="00462B08">
        <w:rPr>
          <w:rFonts w:ascii="Times New Roman" w:hAnsi="Times New Roman" w:cs="Times New Roman"/>
          <w:sz w:val="24"/>
          <w:szCs w:val="24"/>
          <w:lang w:val="uz-Latn-UZ"/>
        </w:rPr>
        <w:t xml:space="preserve">-yilning </w:t>
      </w:r>
      <w:r w:rsidR="00AB5F51" w:rsidRPr="00462B08">
        <w:rPr>
          <w:rFonts w:ascii="Times New Roman" w:hAnsi="Times New Roman" w:cs="Times New Roman"/>
          <w:sz w:val="24"/>
          <w:szCs w:val="24"/>
          <w:lang w:val="uz-Latn-UZ"/>
        </w:rPr>
        <w:t>I</w:t>
      </w:r>
      <w:r w:rsidRPr="00462B08">
        <w:rPr>
          <w:rFonts w:ascii="Times New Roman" w:hAnsi="Times New Roman" w:cs="Times New Roman"/>
          <w:sz w:val="24"/>
          <w:szCs w:val="24"/>
          <w:lang w:val="uz-Latn-UZ"/>
        </w:rPr>
        <w:t>I</w:t>
      </w:r>
      <w:r w:rsidR="00A251A3">
        <w:rPr>
          <w:rFonts w:ascii="Times New Roman" w:hAnsi="Times New Roman" w:cs="Times New Roman"/>
          <w:sz w:val="24"/>
          <w:szCs w:val="24"/>
          <w:lang w:val="uz-Latn-UZ"/>
        </w:rPr>
        <w:t xml:space="preserve"> </w:t>
      </w:r>
      <w:r w:rsidRPr="00462B08">
        <w:rPr>
          <w:rFonts w:ascii="Times New Roman" w:hAnsi="Times New Roman" w:cs="Times New Roman"/>
          <w:sz w:val="24"/>
          <w:szCs w:val="24"/>
          <w:lang w:val="uz-Latn-UZ"/>
        </w:rPr>
        <w:t>choragi davomida kelib tushgan barcha murojaatlar Bank rahbariyati va mas’ul xodimlari tomonidan qonunchilikda belgilangan muddatlarda ko‘rib chiqilgan, murojaatchilarga izoh va tushuntirishlar berilgan hamda ularga javob xatlari yuborilgan.</w:t>
      </w:r>
    </w:p>
    <w:p w14:paraId="24F37200" w14:textId="5056A9B9" w:rsidR="00377595" w:rsidRPr="00462B08" w:rsidRDefault="00377595" w:rsidP="00377595">
      <w:pPr>
        <w:spacing w:after="0"/>
        <w:jc w:val="both"/>
        <w:rPr>
          <w:rFonts w:ascii="Times New Roman" w:hAnsi="Times New Roman" w:cs="Times New Roman"/>
          <w:sz w:val="24"/>
          <w:szCs w:val="24"/>
          <w:lang w:val="uz-Latn-UZ"/>
        </w:rPr>
      </w:pPr>
      <w:bookmarkStart w:id="2" w:name="_Hlk194575086"/>
      <w:r w:rsidRPr="00462B08">
        <w:rPr>
          <w:rFonts w:ascii="Times New Roman" w:hAnsi="Times New Roman" w:cs="Times New Roman"/>
          <w:sz w:val="24"/>
          <w:szCs w:val="24"/>
          <w:lang w:val="uz-Latn-UZ"/>
        </w:rPr>
        <w:t>Murojaatlarda ko‘tarilgan masalalar chuqur tahlil qilinib, ularni hal etish yuzasidan Bank tomonidan quyidagi chora-tadbirlar</w:t>
      </w:r>
      <w:r w:rsidR="005D6F05">
        <w:rPr>
          <w:rFonts w:ascii="Times New Roman" w:hAnsi="Times New Roman" w:cs="Times New Roman"/>
          <w:sz w:val="24"/>
          <w:szCs w:val="24"/>
          <w:lang w:val="uz-Latn-UZ"/>
        </w:rPr>
        <w:t xml:space="preserve"> </w:t>
      </w:r>
      <w:r w:rsidR="002F46CD" w:rsidRPr="00462B08">
        <w:rPr>
          <w:rFonts w:ascii="Times New Roman" w:hAnsi="Times New Roman" w:cs="Times New Roman"/>
          <w:sz w:val="24"/>
          <w:szCs w:val="24"/>
          <w:lang w:val="uz-Latn-UZ"/>
        </w:rPr>
        <w:t>belgilandi</w:t>
      </w:r>
      <w:r w:rsidRPr="00462B08">
        <w:rPr>
          <w:rFonts w:ascii="Times New Roman" w:hAnsi="Times New Roman" w:cs="Times New Roman"/>
          <w:sz w:val="24"/>
          <w:szCs w:val="24"/>
          <w:lang w:val="uz-Latn-UZ"/>
        </w:rPr>
        <w:t>:</w:t>
      </w:r>
    </w:p>
    <w:bookmarkEnd w:id="2"/>
    <w:p w14:paraId="1F546F35" w14:textId="77777777" w:rsidR="00377595" w:rsidRPr="00462B08" w:rsidRDefault="00377595" w:rsidP="00377595">
      <w:pPr>
        <w:spacing w:line="254" w:lineRule="auto"/>
        <w:contextualSpacing/>
        <w:jc w:val="both"/>
        <w:rPr>
          <w:rFonts w:ascii="Times New Roman" w:eastAsia="Calibri" w:hAnsi="Times New Roman" w:cs="Times New Roman"/>
          <w:sz w:val="24"/>
          <w:szCs w:val="24"/>
          <w:lang w:val="uz-Latn-UZ"/>
        </w:rPr>
      </w:pPr>
    </w:p>
    <w:tbl>
      <w:tblPr>
        <w:tblStyle w:val="TableGrid"/>
        <w:tblW w:w="5077" w:type="pct"/>
        <w:tblLook w:val="04A0" w:firstRow="1" w:lastRow="0" w:firstColumn="1" w:lastColumn="0" w:noHBand="0" w:noVBand="1"/>
      </w:tblPr>
      <w:tblGrid>
        <w:gridCol w:w="459"/>
        <w:gridCol w:w="4466"/>
        <w:gridCol w:w="1306"/>
        <w:gridCol w:w="3545"/>
      </w:tblGrid>
      <w:tr w:rsidR="0083204C" w:rsidRPr="00462B08" w14:paraId="4E55B804" w14:textId="77777777" w:rsidTr="005442E5">
        <w:trPr>
          <w:trHeight w:val="340"/>
        </w:trPr>
        <w:tc>
          <w:tcPr>
            <w:tcW w:w="2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19799B" w14:textId="77777777" w:rsidR="0083204C" w:rsidRPr="00462B08" w:rsidRDefault="0083204C" w:rsidP="00580584">
            <w:pPr>
              <w:spacing w:line="254" w:lineRule="auto"/>
              <w:jc w:val="both"/>
              <w:rPr>
                <w:rFonts w:ascii="Times New Roman" w:eastAsia="Calibri" w:hAnsi="Times New Roman" w:cs="Times New Roman"/>
                <w:b/>
                <w:bCs/>
                <w:sz w:val="24"/>
                <w:szCs w:val="24"/>
                <w:lang w:val="uz-Cyrl-UZ"/>
              </w:rPr>
            </w:pPr>
            <w:bookmarkStart w:id="3" w:name="_Hlk203038414"/>
            <w:r w:rsidRPr="00462B08">
              <w:rPr>
                <w:rFonts w:ascii="Times New Roman" w:eastAsia="Calibri" w:hAnsi="Times New Roman" w:cs="Times New Roman"/>
                <w:b/>
                <w:bCs/>
                <w:sz w:val="24"/>
                <w:szCs w:val="24"/>
                <w:lang w:val="uz-Cyrl-UZ"/>
              </w:rPr>
              <w:t>№</w:t>
            </w:r>
          </w:p>
        </w:tc>
        <w:tc>
          <w:tcPr>
            <w:tcW w:w="228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5AE52F" w14:textId="77777777" w:rsidR="0083204C" w:rsidRPr="00462B08" w:rsidRDefault="0083204C" w:rsidP="00580584">
            <w:pPr>
              <w:spacing w:line="254" w:lineRule="auto"/>
              <w:jc w:val="center"/>
              <w:rPr>
                <w:rFonts w:ascii="Times New Roman" w:eastAsia="Calibri" w:hAnsi="Times New Roman" w:cs="Times New Roman"/>
                <w:b/>
                <w:bCs/>
                <w:sz w:val="24"/>
                <w:szCs w:val="24"/>
                <w:lang w:val="uz-Latn-UZ"/>
              </w:rPr>
            </w:pPr>
            <w:r w:rsidRPr="00462B08">
              <w:rPr>
                <w:rFonts w:ascii="Times New Roman" w:hAnsi="Times New Roman" w:cs="Times New Roman"/>
                <w:b/>
                <w:bCs/>
                <w:sz w:val="24"/>
                <w:szCs w:val="24"/>
                <w:lang w:val="uz-Cyrl-UZ"/>
              </w:rPr>
              <w:t>Chora - tadbirlar</w:t>
            </w:r>
          </w:p>
        </w:tc>
        <w:tc>
          <w:tcPr>
            <w:tcW w:w="6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17068D" w14:textId="77777777" w:rsidR="0083204C" w:rsidRPr="00462B08" w:rsidRDefault="0083204C" w:rsidP="00580584">
            <w:pPr>
              <w:spacing w:after="255" w:line="254" w:lineRule="auto"/>
              <w:contextualSpacing/>
              <w:jc w:val="center"/>
              <w:rPr>
                <w:rFonts w:ascii="Times New Roman" w:eastAsia="Calibri" w:hAnsi="Times New Roman" w:cs="Times New Roman"/>
                <w:b/>
                <w:bCs/>
                <w:sz w:val="24"/>
                <w:szCs w:val="24"/>
                <w:lang w:val="uz-Latn-UZ"/>
              </w:rPr>
            </w:pPr>
            <w:r w:rsidRPr="00462B08">
              <w:rPr>
                <w:rFonts w:ascii="Times New Roman" w:hAnsi="Times New Roman" w:cs="Times New Roman"/>
                <w:b/>
                <w:bCs/>
                <w:sz w:val="24"/>
                <w:szCs w:val="24"/>
                <w:lang w:val="uz-Cyrl-UZ"/>
              </w:rPr>
              <w:t>Amalga oshirish davri</w:t>
            </w:r>
          </w:p>
        </w:tc>
        <w:tc>
          <w:tcPr>
            <w:tcW w:w="18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633E31" w14:textId="77777777" w:rsidR="0083204C" w:rsidRPr="00462B08" w:rsidRDefault="0083204C" w:rsidP="00580584">
            <w:pPr>
              <w:spacing w:line="254" w:lineRule="auto"/>
              <w:jc w:val="center"/>
              <w:rPr>
                <w:rFonts w:ascii="Times New Roman" w:eastAsia="Calibri" w:hAnsi="Times New Roman" w:cs="Times New Roman"/>
                <w:b/>
                <w:bCs/>
                <w:sz w:val="24"/>
                <w:szCs w:val="24"/>
                <w:lang w:val="uz-Latn-UZ"/>
              </w:rPr>
            </w:pPr>
            <w:r w:rsidRPr="00462B08">
              <w:rPr>
                <w:rFonts w:ascii="Times New Roman" w:hAnsi="Times New Roman" w:cs="Times New Roman"/>
                <w:b/>
                <w:bCs/>
                <w:sz w:val="24"/>
                <w:szCs w:val="24"/>
                <w:lang w:val="uz-Cyrl-UZ"/>
              </w:rPr>
              <w:t>Ma’sul boshqarmalar</w:t>
            </w:r>
          </w:p>
        </w:tc>
      </w:tr>
      <w:tr w:rsidR="0083204C" w:rsidRPr="0090751C" w14:paraId="350D9650" w14:textId="77777777" w:rsidTr="005442E5">
        <w:trPr>
          <w:trHeight w:val="340"/>
        </w:trPr>
        <w:tc>
          <w:tcPr>
            <w:tcW w:w="235" w:type="pct"/>
            <w:tcBorders>
              <w:top w:val="single" w:sz="4" w:space="0" w:color="auto"/>
              <w:left w:val="single" w:sz="4" w:space="0" w:color="auto"/>
              <w:bottom w:val="single" w:sz="4" w:space="0" w:color="auto"/>
              <w:right w:val="single" w:sz="4" w:space="0" w:color="auto"/>
            </w:tcBorders>
            <w:vAlign w:val="center"/>
            <w:hideMark/>
          </w:tcPr>
          <w:p w14:paraId="49813F9A" w14:textId="77777777" w:rsidR="0083204C" w:rsidRPr="00462B08" w:rsidRDefault="0083204C" w:rsidP="00580584">
            <w:pPr>
              <w:spacing w:line="254" w:lineRule="auto"/>
              <w:jc w:val="both"/>
              <w:rPr>
                <w:rFonts w:ascii="Times New Roman" w:eastAsia="Calibri" w:hAnsi="Times New Roman" w:cs="Times New Roman"/>
                <w:sz w:val="24"/>
                <w:szCs w:val="24"/>
                <w:lang w:val="en-US"/>
              </w:rPr>
            </w:pPr>
            <w:bookmarkStart w:id="4" w:name="_Hlk203039121"/>
            <w:bookmarkEnd w:id="3"/>
            <w:r w:rsidRPr="00462B08">
              <w:rPr>
                <w:rFonts w:ascii="Times New Roman" w:hAnsi="Times New Roman" w:cs="Times New Roman"/>
                <w:sz w:val="24"/>
                <w:szCs w:val="24"/>
                <w:lang w:val="uz-Latn-UZ"/>
              </w:rPr>
              <w:t>1.</w:t>
            </w:r>
          </w:p>
        </w:tc>
        <w:tc>
          <w:tcPr>
            <w:tcW w:w="2284" w:type="pct"/>
            <w:tcBorders>
              <w:top w:val="single" w:sz="4" w:space="0" w:color="auto"/>
              <w:left w:val="single" w:sz="4" w:space="0" w:color="auto"/>
              <w:bottom w:val="single" w:sz="4" w:space="0" w:color="auto"/>
              <w:right w:val="single" w:sz="4" w:space="0" w:color="auto"/>
            </w:tcBorders>
            <w:vAlign w:val="center"/>
          </w:tcPr>
          <w:p w14:paraId="7E71E217" w14:textId="34C0A6DE" w:rsidR="0083204C" w:rsidRPr="00462B08" w:rsidRDefault="00C77BD7" w:rsidP="00580584">
            <w:pPr>
              <w:spacing w:line="254" w:lineRule="auto"/>
              <w:jc w:val="both"/>
              <w:rPr>
                <w:rFonts w:ascii="Times New Roman" w:eastAsia="Calibri" w:hAnsi="Times New Roman" w:cs="Times New Roman"/>
                <w:sz w:val="24"/>
                <w:szCs w:val="24"/>
                <w:lang w:val="en-US"/>
              </w:rPr>
            </w:pPr>
            <w:r w:rsidRPr="00462B08">
              <w:rPr>
                <w:rFonts w:ascii="Times New Roman" w:eastAsia="Calibri" w:hAnsi="Times New Roman" w:cs="Times New Roman"/>
                <w:sz w:val="24"/>
                <w:szCs w:val="24"/>
                <w:lang w:val="en-US"/>
              </w:rPr>
              <w:t>T</w:t>
            </w:r>
            <w:r w:rsidR="00525E9F" w:rsidRPr="00462B08">
              <w:rPr>
                <w:rFonts w:ascii="Times New Roman" w:eastAsia="Calibri" w:hAnsi="Times New Roman" w:cs="Times New Roman"/>
                <w:sz w:val="24"/>
                <w:szCs w:val="24"/>
                <w:lang w:val="en-US"/>
              </w:rPr>
              <w:t>ariflar,</w:t>
            </w:r>
            <w:r w:rsidRPr="00462B08">
              <w:rPr>
                <w:rFonts w:ascii="Times New Roman" w:eastAsia="Calibri" w:hAnsi="Times New Roman" w:cs="Times New Roman"/>
                <w:sz w:val="24"/>
                <w:szCs w:val="24"/>
                <w:lang w:val="en-US"/>
              </w:rPr>
              <w:t xml:space="preserve"> </w:t>
            </w:r>
            <w:r w:rsidR="00525E9F" w:rsidRPr="00462B08">
              <w:rPr>
                <w:rFonts w:ascii="Times New Roman" w:eastAsia="Calibri" w:hAnsi="Times New Roman" w:cs="Times New Roman"/>
                <w:sz w:val="24"/>
                <w:szCs w:val="24"/>
                <w:lang w:val="en-US"/>
              </w:rPr>
              <w:t>komissiyalar</w:t>
            </w:r>
            <w:r w:rsidRPr="00462B08">
              <w:rPr>
                <w:rFonts w:ascii="Times New Roman" w:eastAsia="Calibri" w:hAnsi="Times New Roman" w:cs="Times New Roman"/>
                <w:sz w:val="24"/>
                <w:szCs w:val="24"/>
                <w:lang w:val="en-US"/>
              </w:rPr>
              <w:t xml:space="preserve"> va</w:t>
            </w:r>
            <w:r w:rsidR="00525E9F" w:rsidRPr="00462B08">
              <w:rPr>
                <w:rFonts w:ascii="Times New Roman" w:eastAsia="Calibri" w:hAnsi="Times New Roman" w:cs="Times New Roman"/>
                <w:sz w:val="24"/>
                <w:szCs w:val="24"/>
                <w:lang w:val="en-US"/>
              </w:rPr>
              <w:t xml:space="preserve"> limitlar</w:t>
            </w:r>
            <w:r w:rsidRPr="00462B08">
              <w:rPr>
                <w:rFonts w:ascii="Times New Roman" w:eastAsia="Calibri" w:hAnsi="Times New Roman" w:cs="Times New Roman"/>
                <w:sz w:val="24"/>
                <w:szCs w:val="24"/>
                <w:lang w:val="en-US"/>
              </w:rPr>
              <w:t>dagi</w:t>
            </w:r>
            <w:r w:rsidR="00525E9F" w:rsidRPr="00462B08">
              <w:rPr>
                <w:rFonts w:ascii="Times New Roman" w:eastAsia="Calibri" w:hAnsi="Times New Roman" w:cs="Times New Roman"/>
                <w:sz w:val="24"/>
                <w:szCs w:val="24"/>
                <w:lang w:val="en-US"/>
              </w:rPr>
              <w:t xml:space="preserve"> </w:t>
            </w:r>
            <w:r w:rsidRPr="00462B08">
              <w:rPr>
                <w:rFonts w:ascii="Times New Roman" w:eastAsia="Calibri" w:hAnsi="Times New Roman" w:cs="Times New Roman"/>
                <w:sz w:val="24"/>
                <w:szCs w:val="24"/>
                <w:lang w:val="en-US"/>
              </w:rPr>
              <w:t>o</w:t>
            </w:r>
            <w:r w:rsidR="00FF6162">
              <w:rPr>
                <w:rFonts w:ascii="Times New Roman" w:eastAsia="Calibri" w:hAnsi="Times New Roman" w:cs="Times New Roman"/>
                <w:sz w:val="24"/>
                <w:szCs w:val="24"/>
                <w:lang w:val="en-US"/>
              </w:rPr>
              <w:t>‘</w:t>
            </w:r>
            <w:r w:rsidRPr="00462B08">
              <w:rPr>
                <w:rFonts w:ascii="Times New Roman" w:eastAsia="Calibri" w:hAnsi="Times New Roman" w:cs="Times New Roman"/>
                <w:sz w:val="24"/>
                <w:szCs w:val="24"/>
                <w:lang w:val="en-US"/>
              </w:rPr>
              <w:t xml:space="preserve">zgarishlar haqida mijozlarni SMS hamda mobil </w:t>
            </w:r>
            <w:r w:rsidR="00525E9F" w:rsidRPr="00462B08">
              <w:rPr>
                <w:rFonts w:ascii="Times New Roman" w:eastAsia="Calibri" w:hAnsi="Times New Roman" w:cs="Times New Roman"/>
                <w:sz w:val="24"/>
                <w:szCs w:val="24"/>
                <w:lang w:val="en-US"/>
              </w:rPr>
              <w:t xml:space="preserve">ilova </w:t>
            </w:r>
            <w:r w:rsidRPr="00462B08">
              <w:rPr>
                <w:rFonts w:ascii="Times New Roman" w:eastAsia="Calibri" w:hAnsi="Times New Roman" w:cs="Times New Roman"/>
                <w:sz w:val="24"/>
                <w:szCs w:val="24"/>
                <w:lang w:val="en-US"/>
              </w:rPr>
              <w:t xml:space="preserve">orqali oldindan </w:t>
            </w:r>
            <w:r w:rsidR="00525E9F" w:rsidRPr="00462B08">
              <w:rPr>
                <w:rFonts w:ascii="Times New Roman" w:eastAsia="Calibri" w:hAnsi="Times New Roman" w:cs="Times New Roman"/>
                <w:sz w:val="24"/>
                <w:szCs w:val="24"/>
                <w:lang w:val="en-US"/>
              </w:rPr>
              <w:t>xabardor qilish</w:t>
            </w:r>
            <w:r w:rsidRPr="00462B08">
              <w:rPr>
                <w:rFonts w:ascii="Times New Roman" w:eastAsia="Calibri" w:hAnsi="Times New Roman" w:cs="Times New Roman"/>
                <w:sz w:val="24"/>
                <w:szCs w:val="24"/>
                <w:lang w:val="en-US"/>
              </w:rPr>
              <w:t xml:space="preserve"> amaliyotini kengaytirish</w:t>
            </w:r>
            <w:r w:rsidR="00FF6162">
              <w:rPr>
                <w:rFonts w:ascii="Times New Roman" w:eastAsia="Calibri" w:hAnsi="Times New Roman" w:cs="Times New Roman"/>
                <w:sz w:val="24"/>
                <w:szCs w:val="24"/>
                <w:lang w:val="en-US"/>
              </w:rPr>
              <w:t>.</w:t>
            </w:r>
          </w:p>
        </w:tc>
        <w:tc>
          <w:tcPr>
            <w:tcW w:w="668" w:type="pct"/>
            <w:tcBorders>
              <w:top w:val="single" w:sz="4" w:space="0" w:color="auto"/>
              <w:left w:val="single" w:sz="4" w:space="0" w:color="auto"/>
              <w:bottom w:val="single" w:sz="4" w:space="0" w:color="auto"/>
              <w:right w:val="single" w:sz="4" w:space="0" w:color="auto"/>
            </w:tcBorders>
            <w:vAlign w:val="center"/>
          </w:tcPr>
          <w:p w14:paraId="71FB82D0" w14:textId="77557141" w:rsidR="0083204C" w:rsidRPr="00462B08" w:rsidRDefault="00525E9F" w:rsidP="00580584">
            <w:pPr>
              <w:spacing w:after="255" w:line="254" w:lineRule="auto"/>
              <w:contextualSpacing/>
              <w:jc w:val="center"/>
              <w:rPr>
                <w:rFonts w:ascii="Times New Roman" w:eastAsia="Calibri" w:hAnsi="Times New Roman" w:cs="Times New Roman"/>
                <w:sz w:val="24"/>
                <w:szCs w:val="24"/>
                <w:lang w:val="en-GB"/>
              </w:rPr>
            </w:pPr>
            <w:r w:rsidRPr="00462B08">
              <w:rPr>
                <w:rFonts w:ascii="Times New Roman" w:eastAsia="Calibri" w:hAnsi="Times New Roman" w:cs="Times New Roman"/>
                <w:sz w:val="24"/>
                <w:szCs w:val="24"/>
                <w:lang w:val="en-GB"/>
              </w:rPr>
              <w:t>Doimiy</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14:paraId="58D66C82" w14:textId="5D995A27" w:rsidR="0083204C" w:rsidRPr="00462B08" w:rsidRDefault="009E549E" w:rsidP="00FF6162">
            <w:pPr>
              <w:spacing w:line="254" w:lineRule="auto"/>
              <w:jc w:val="both"/>
              <w:rPr>
                <w:rFonts w:ascii="Times New Roman" w:eastAsia="Calibri" w:hAnsi="Times New Roman" w:cs="Times New Roman"/>
                <w:sz w:val="24"/>
                <w:szCs w:val="24"/>
                <w:lang w:val="en-GB"/>
              </w:rPr>
            </w:pPr>
            <w:r w:rsidRPr="00462B08">
              <w:rPr>
                <w:rFonts w:ascii="Times New Roman" w:eastAsia="Calibri" w:hAnsi="Times New Roman" w:cs="Times New Roman"/>
                <w:sz w:val="24"/>
                <w:szCs w:val="24"/>
                <w:lang w:val="en-GB"/>
              </w:rPr>
              <w:t>Mijozlarga xi</w:t>
            </w:r>
            <w:r w:rsidR="00FF6162">
              <w:rPr>
                <w:rFonts w:ascii="Times New Roman" w:eastAsia="Calibri" w:hAnsi="Times New Roman" w:cs="Times New Roman"/>
                <w:sz w:val="24"/>
                <w:szCs w:val="24"/>
                <w:lang w:val="en-GB"/>
              </w:rPr>
              <w:t>z</w:t>
            </w:r>
            <w:r w:rsidRPr="00462B08">
              <w:rPr>
                <w:rFonts w:ascii="Times New Roman" w:eastAsia="Calibri" w:hAnsi="Times New Roman" w:cs="Times New Roman"/>
                <w:sz w:val="24"/>
                <w:szCs w:val="24"/>
                <w:lang w:val="en-GB"/>
              </w:rPr>
              <w:t>mat ko</w:t>
            </w:r>
            <w:r w:rsidR="00FF6162">
              <w:rPr>
                <w:rFonts w:ascii="Times New Roman" w:eastAsia="Calibri" w:hAnsi="Times New Roman" w:cs="Times New Roman"/>
                <w:sz w:val="24"/>
                <w:szCs w:val="24"/>
                <w:lang w:val="en-GB"/>
              </w:rPr>
              <w:t>‘</w:t>
            </w:r>
            <w:r w:rsidRPr="00462B08">
              <w:rPr>
                <w:rFonts w:ascii="Times New Roman" w:eastAsia="Calibri" w:hAnsi="Times New Roman" w:cs="Times New Roman"/>
                <w:sz w:val="24"/>
                <w:szCs w:val="24"/>
                <w:lang w:val="en-GB"/>
              </w:rPr>
              <w:t xml:space="preserve">rsatish </w:t>
            </w:r>
            <w:r w:rsidR="00FF6162" w:rsidRPr="00462B08">
              <w:rPr>
                <w:rFonts w:ascii="Times New Roman" w:eastAsia="Calibri" w:hAnsi="Times New Roman" w:cs="Times New Roman"/>
                <w:sz w:val="24"/>
                <w:szCs w:val="24"/>
                <w:lang w:val="en-GB"/>
              </w:rPr>
              <w:t>boshqarmasi</w:t>
            </w:r>
            <w:r w:rsidR="00C77BD7" w:rsidRPr="00462B08">
              <w:rPr>
                <w:rFonts w:ascii="Times New Roman" w:eastAsia="Calibri" w:hAnsi="Times New Roman" w:cs="Times New Roman"/>
                <w:sz w:val="24"/>
                <w:szCs w:val="24"/>
                <w:lang w:val="en-GB"/>
              </w:rPr>
              <w:t xml:space="preserve">-1; </w:t>
            </w:r>
            <w:r w:rsidRPr="00462B08">
              <w:rPr>
                <w:rFonts w:ascii="Times New Roman" w:eastAsia="Calibri" w:hAnsi="Times New Roman" w:cs="Times New Roman"/>
                <w:sz w:val="24"/>
                <w:szCs w:val="24"/>
                <w:lang w:val="en-GB"/>
              </w:rPr>
              <w:t>Mijozlarga xi</w:t>
            </w:r>
            <w:r w:rsidR="00FF6162">
              <w:rPr>
                <w:rFonts w:ascii="Times New Roman" w:eastAsia="Calibri" w:hAnsi="Times New Roman" w:cs="Times New Roman"/>
                <w:sz w:val="24"/>
                <w:szCs w:val="24"/>
                <w:lang w:val="en-GB"/>
              </w:rPr>
              <w:t>z</w:t>
            </w:r>
            <w:r w:rsidRPr="00462B08">
              <w:rPr>
                <w:rFonts w:ascii="Times New Roman" w:eastAsia="Calibri" w:hAnsi="Times New Roman" w:cs="Times New Roman"/>
                <w:sz w:val="24"/>
                <w:szCs w:val="24"/>
                <w:lang w:val="en-GB"/>
              </w:rPr>
              <w:t>mat ko</w:t>
            </w:r>
            <w:r w:rsidR="00FF6162">
              <w:rPr>
                <w:rFonts w:ascii="Times New Roman" w:eastAsia="Calibri" w:hAnsi="Times New Roman" w:cs="Times New Roman"/>
                <w:sz w:val="24"/>
                <w:szCs w:val="24"/>
                <w:lang w:val="en-GB"/>
              </w:rPr>
              <w:t>‘</w:t>
            </w:r>
            <w:r w:rsidRPr="00462B08">
              <w:rPr>
                <w:rFonts w:ascii="Times New Roman" w:eastAsia="Calibri" w:hAnsi="Times New Roman" w:cs="Times New Roman"/>
                <w:sz w:val="24"/>
                <w:szCs w:val="24"/>
                <w:lang w:val="en-GB"/>
              </w:rPr>
              <w:t xml:space="preserve">rsatish </w:t>
            </w:r>
            <w:r w:rsidR="00FF6162" w:rsidRPr="00462B08">
              <w:rPr>
                <w:rFonts w:ascii="Times New Roman" w:eastAsia="Calibri" w:hAnsi="Times New Roman" w:cs="Times New Roman"/>
                <w:sz w:val="24"/>
                <w:szCs w:val="24"/>
                <w:lang w:val="en-GB"/>
              </w:rPr>
              <w:t>boshqarmasi</w:t>
            </w:r>
            <w:r w:rsidR="00C77BD7" w:rsidRPr="00462B08">
              <w:rPr>
                <w:rFonts w:ascii="Times New Roman" w:eastAsia="Calibri" w:hAnsi="Times New Roman" w:cs="Times New Roman"/>
                <w:sz w:val="24"/>
                <w:szCs w:val="24"/>
                <w:lang w:val="en-GB"/>
              </w:rPr>
              <w:t xml:space="preserve">-2; </w:t>
            </w:r>
            <w:r w:rsidRPr="00462B08">
              <w:rPr>
                <w:rFonts w:ascii="Times New Roman" w:eastAsia="Calibri" w:hAnsi="Times New Roman" w:cs="Times New Roman"/>
                <w:sz w:val="24"/>
                <w:szCs w:val="24"/>
                <w:lang w:val="en-GB"/>
              </w:rPr>
              <w:t xml:space="preserve">Raqamli bank tizimlari </w:t>
            </w:r>
            <w:r w:rsidR="00FF6162" w:rsidRPr="00462B08">
              <w:rPr>
                <w:rFonts w:ascii="Times New Roman" w:eastAsia="Calibri" w:hAnsi="Times New Roman" w:cs="Times New Roman"/>
                <w:sz w:val="24"/>
                <w:szCs w:val="24"/>
                <w:lang w:val="en-GB"/>
              </w:rPr>
              <w:t>boshqarmasi</w:t>
            </w:r>
            <w:r w:rsidR="00C77BD7" w:rsidRPr="00462B08">
              <w:rPr>
                <w:rFonts w:ascii="Times New Roman" w:eastAsia="Calibri" w:hAnsi="Times New Roman" w:cs="Times New Roman"/>
                <w:sz w:val="24"/>
                <w:szCs w:val="24"/>
                <w:lang w:val="en-GB"/>
              </w:rPr>
              <w:t>.</w:t>
            </w:r>
          </w:p>
        </w:tc>
      </w:tr>
      <w:tr w:rsidR="0083204C" w:rsidRPr="0090751C" w14:paraId="71858DB7" w14:textId="77777777" w:rsidTr="005442E5">
        <w:trPr>
          <w:trHeight w:val="340"/>
        </w:trPr>
        <w:tc>
          <w:tcPr>
            <w:tcW w:w="235" w:type="pct"/>
            <w:tcBorders>
              <w:top w:val="single" w:sz="4" w:space="0" w:color="auto"/>
              <w:left w:val="single" w:sz="4" w:space="0" w:color="auto"/>
              <w:bottom w:val="single" w:sz="4" w:space="0" w:color="auto"/>
              <w:right w:val="single" w:sz="4" w:space="0" w:color="auto"/>
            </w:tcBorders>
            <w:vAlign w:val="center"/>
          </w:tcPr>
          <w:p w14:paraId="654C41CB" w14:textId="77777777" w:rsidR="0083204C" w:rsidRPr="00462B08" w:rsidRDefault="0083204C" w:rsidP="00580584">
            <w:pPr>
              <w:spacing w:after="255" w:line="254" w:lineRule="auto"/>
              <w:contextualSpacing/>
              <w:jc w:val="both"/>
              <w:rPr>
                <w:rFonts w:ascii="Times New Roman" w:eastAsia="Calibri" w:hAnsi="Times New Roman" w:cs="Times New Roman"/>
                <w:sz w:val="24"/>
                <w:szCs w:val="24"/>
                <w:lang w:val="en-US"/>
              </w:rPr>
            </w:pPr>
            <w:r w:rsidRPr="00462B08">
              <w:rPr>
                <w:rFonts w:ascii="Times New Roman" w:hAnsi="Times New Roman" w:cs="Times New Roman"/>
                <w:sz w:val="24"/>
                <w:szCs w:val="24"/>
                <w:lang w:val="uz-Latn-UZ"/>
              </w:rPr>
              <w:t>2.</w:t>
            </w:r>
          </w:p>
        </w:tc>
        <w:tc>
          <w:tcPr>
            <w:tcW w:w="2284" w:type="pct"/>
            <w:tcBorders>
              <w:top w:val="single" w:sz="4" w:space="0" w:color="auto"/>
              <w:left w:val="single" w:sz="4" w:space="0" w:color="auto"/>
              <w:bottom w:val="single" w:sz="4" w:space="0" w:color="auto"/>
              <w:right w:val="single" w:sz="4" w:space="0" w:color="auto"/>
            </w:tcBorders>
            <w:vAlign w:val="center"/>
          </w:tcPr>
          <w:p w14:paraId="3984F492" w14:textId="5DCE5C9A" w:rsidR="0083204C" w:rsidRPr="00462B08" w:rsidRDefault="0083204C" w:rsidP="00580584">
            <w:pPr>
              <w:spacing w:after="255" w:line="254" w:lineRule="auto"/>
              <w:contextualSpacing/>
              <w:jc w:val="both"/>
              <w:rPr>
                <w:rFonts w:ascii="Times New Roman" w:eastAsia="Calibri" w:hAnsi="Times New Roman" w:cs="Times New Roman"/>
                <w:color w:val="000000" w:themeColor="text1"/>
                <w:sz w:val="24"/>
                <w:szCs w:val="24"/>
                <w:lang w:val="en-US"/>
              </w:rPr>
            </w:pPr>
            <w:r w:rsidRPr="00462B08">
              <w:rPr>
                <w:rFonts w:ascii="Times New Roman" w:eastAsia="Calibri" w:hAnsi="Times New Roman" w:cs="Times New Roman"/>
                <w:color w:val="000000" w:themeColor="text1"/>
                <w:sz w:val="24"/>
                <w:szCs w:val="24"/>
                <w:lang w:val="en-US"/>
              </w:rPr>
              <w:t>Visa protsessing markazini modernizatsiya qilish ishlarini bosqichma-bosqich amalga oshirish</w:t>
            </w:r>
            <w:r w:rsidR="00FF6162">
              <w:rPr>
                <w:rFonts w:ascii="Times New Roman" w:eastAsia="Calibri" w:hAnsi="Times New Roman" w:cs="Times New Roman"/>
                <w:color w:val="000000" w:themeColor="text1"/>
                <w:sz w:val="24"/>
                <w:szCs w:val="24"/>
                <w:lang w:val="en-US"/>
              </w:rPr>
              <w:t>.</w:t>
            </w:r>
          </w:p>
        </w:tc>
        <w:tc>
          <w:tcPr>
            <w:tcW w:w="668" w:type="pct"/>
            <w:tcBorders>
              <w:top w:val="single" w:sz="4" w:space="0" w:color="auto"/>
              <w:left w:val="single" w:sz="4" w:space="0" w:color="auto"/>
              <w:bottom w:val="single" w:sz="4" w:space="0" w:color="auto"/>
              <w:right w:val="single" w:sz="4" w:space="0" w:color="auto"/>
            </w:tcBorders>
            <w:vAlign w:val="center"/>
          </w:tcPr>
          <w:p w14:paraId="3CA74720" w14:textId="694254D4" w:rsidR="0083204C" w:rsidRPr="00462B08" w:rsidRDefault="0083204C" w:rsidP="00580584">
            <w:pPr>
              <w:spacing w:after="255" w:line="254" w:lineRule="auto"/>
              <w:contextualSpacing/>
              <w:jc w:val="center"/>
              <w:rPr>
                <w:rFonts w:ascii="Times New Roman" w:eastAsia="Calibri" w:hAnsi="Times New Roman" w:cs="Times New Roman"/>
                <w:color w:val="000000" w:themeColor="text1"/>
                <w:sz w:val="24"/>
                <w:szCs w:val="24"/>
                <w:lang w:val="en-GB"/>
              </w:rPr>
            </w:pPr>
            <w:r w:rsidRPr="00462B08">
              <w:rPr>
                <w:rFonts w:ascii="Times New Roman" w:eastAsia="Calibri" w:hAnsi="Times New Roman" w:cs="Times New Roman"/>
                <w:color w:val="000000" w:themeColor="text1"/>
                <w:sz w:val="24"/>
                <w:szCs w:val="24"/>
                <w:lang w:val="en-GB"/>
              </w:rPr>
              <w:t>01.0</w:t>
            </w:r>
            <w:r w:rsidR="00351C19" w:rsidRPr="00462B08">
              <w:rPr>
                <w:rFonts w:ascii="Times New Roman" w:eastAsia="Calibri" w:hAnsi="Times New Roman" w:cs="Times New Roman"/>
                <w:color w:val="000000" w:themeColor="text1"/>
                <w:sz w:val="24"/>
                <w:szCs w:val="24"/>
                <w:lang w:val="en-GB"/>
              </w:rPr>
              <w:t>9</w:t>
            </w:r>
            <w:r w:rsidRPr="00462B08">
              <w:rPr>
                <w:rFonts w:ascii="Times New Roman" w:eastAsia="Calibri" w:hAnsi="Times New Roman" w:cs="Times New Roman"/>
                <w:color w:val="000000" w:themeColor="text1"/>
                <w:sz w:val="24"/>
                <w:szCs w:val="24"/>
                <w:lang w:val="en-GB"/>
              </w:rPr>
              <w:t>.2026</w:t>
            </w:r>
          </w:p>
        </w:tc>
        <w:tc>
          <w:tcPr>
            <w:tcW w:w="1813" w:type="pct"/>
            <w:tcBorders>
              <w:top w:val="single" w:sz="4" w:space="0" w:color="auto"/>
              <w:left w:val="single" w:sz="4" w:space="0" w:color="auto"/>
              <w:right w:val="single" w:sz="4" w:space="0" w:color="auto"/>
            </w:tcBorders>
            <w:shd w:val="clear" w:color="auto" w:fill="FFFFFF"/>
            <w:vAlign w:val="center"/>
          </w:tcPr>
          <w:p w14:paraId="6A415DA6" w14:textId="4DDEB9FB" w:rsidR="006E45BD" w:rsidRPr="00462B08" w:rsidRDefault="00C77BD7" w:rsidP="00FF6162">
            <w:pPr>
              <w:spacing w:after="255" w:line="254" w:lineRule="auto"/>
              <w:contextualSpacing/>
              <w:jc w:val="both"/>
              <w:rPr>
                <w:rFonts w:ascii="Times New Roman" w:hAnsi="Times New Roman" w:cs="Times New Roman"/>
                <w:color w:val="000000" w:themeColor="text1"/>
                <w:sz w:val="24"/>
                <w:szCs w:val="24"/>
                <w:lang w:val="uz-Latn-UZ"/>
              </w:rPr>
            </w:pPr>
            <w:r w:rsidRPr="00462B08">
              <w:rPr>
                <w:rFonts w:ascii="Times New Roman" w:hAnsi="Times New Roman" w:cs="Times New Roman"/>
                <w:color w:val="000000" w:themeColor="text1"/>
                <w:sz w:val="24"/>
                <w:szCs w:val="24"/>
                <w:lang w:val="uz-Latn-UZ"/>
              </w:rPr>
              <w:t xml:space="preserve">Bank </w:t>
            </w:r>
            <w:r w:rsidR="009E549E" w:rsidRPr="00462B08">
              <w:rPr>
                <w:rFonts w:ascii="Times New Roman" w:hAnsi="Times New Roman" w:cs="Times New Roman"/>
                <w:color w:val="000000" w:themeColor="text1"/>
                <w:sz w:val="24"/>
                <w:szCs w:val="24"/>
                <w:lang w:val="uz-Latn-UZ"/>
              </w:rPr>
              <w:t xml:space="preserve">kartalari </w:t>
            </w:r>
            <w:r w:rsidR="00FF6162" w:rsidRPr="00462B08">
              <w:rPr>
                <w:rFonts w:ascii="Times New Roman" w:hAnsi="Times New Roman" w:cs="Times New Roman"/>
                <w:color w:val="000000" w:themeColor="text1"/>
                <w:sz w:val="24"/>
                <w:szCs w:val="24"/>
                <w:lang w:val="uz-Latn-UZ"/>
              </w:rPr>
              <w:t>boshqarmasi</w:t>
            </w:r>
            <w:r w:rsidR="009E549E" w:rsidRPr="00462B08">
              <w:rPr>
                <w:rFonts w:ascii="Times New Roman" w:hAnsi="Times New Roman" w:cs="Times New Roman"/>
                <w:color w:val="000000" w:themeColor="text1"/>
                <w:sz w:val="24"/>
                <w:szCs w:val="24"/>
                <w:lang w:val="uz-Latn-UZ"/>
              </w:rPr>
              <w:t>;</w:t>
            </w:r>
          </w:p>
          <w:p w14:paraId="27F80932" w14:textId="29EB5285" w:rsidR="0083204C" w:rsidRPr="00462B08" w:rsidRDefault="0083204C" w:rsidP="00FF6162">
            <w:pPr>
              <w:spacing w:after="255" w:line="254" w:lineRule="auto"/>
              <w:contextualSpacing/>
              <w:jc w:val="both"/>
              <w:rPr>
                <w:rFonts w:ascii="Times New Roman" w:eastAsia="Calibri" w:hAnsi="Times New Roman" w:cs="Times New Roman"/>
                <w:color w:val="000000" w:themeColor="text1"/>
                <w:sz w:val="24"/>
                <w:szCs w:val="24"/>
                <w:lang w:val="en-GB"/>
              </w:rPr>
            </w:pPr>
            <w:r w:rsidRPr="00462B08">
              <w:rPr>
                <w:rFonts w:ascii="Times New Roman" w:hAnsi="Times New Roman" w:cs="Times New Roman"/>
                <w:color w:val="000000" w:themeColor="text1"/>
                <w:sz w:val="24"/>
                <w:szCs w:val="24"/>
                <w:lang w:val="uz-Latn-UZ"/>
              </w:rPr>
              <w:t>IT</w:t>
            </w:r>
            <w:r w:rsidR="00C77BD7" w:rsidRPr="00462B08">
              <w:rPr>
                <w:rFonts w:ascii="Times New Roman" w:hAnsi="Times New Roman" w:cs="Times New Roman"/>
                <w:color w:val="000000" w:themeColor="text1"/>
                <w:sz w:val="24"/>
                <w:szCs w:val="24"/>
                <w:lang w:val="uz-Latn-UZ"/>
              </w:rPr>
              <w:t xml:space="preserve"> </w:t>
            </w:r>
            <w:r w:rsidR="009E549E" w:rsidRPr="00462B08">
              <w:rPr>
                <w:rFonts w:ascii="Times New Roman" w:hAnsi="Times New Roman" w:cs="Times New Roman"/>
                <w:color w:val="000000" w:themeColor="text1"/>
                <w:sz w:val="24"/>
                <w:szCs w:val="24"/>
                <w:lang w:val="uz-Latn-UZ"/>
              </w:rPr>
              <w:t xml:space="preserve">tizimlari </w:t>
            </w:r>
            <w:r w:rsidR="00FF6162" w:rsidRPr="00462B08">
              <w:rPr>
                <w:rFonts w:ascii="Times New Roman" w:eastAsia="Calibri" w:hAnsi="Times New Roman" w:cs="Times New Roman"/>
                <w:sz w:val="24"/>
                <w:szCs w:val="24"/>
                <w:lang w:val="en-GB"/>
              </w:rPr>
              <w:t>boshqarmasi</w:t>
            </w:r>
            <w:r w:rsidR="00C77BD7" w:rsidRPr="00462B08">
              <w:rPr>
                <w:rFonts w:ascii="Times New Roman" w:hAnsi="Times New Roman" w:cs="Times New Roman"/>
                <w:color w:val="000000" w:themeColor="text1"/>
                <w:sz w:val="24"/>
                <w:szCs w:val="24"/>
                <w:lang w:val="uz-Latn-UZ"/>
              </w:rPr>
              <w:t>.</w:t>
            </w:r>
          </w:p>
        </w:tc>
      </w:tr>
      <w:bookmarkEnd w:id="4"/>
      <w:tr w:rsidR="0083204C" w:rsidRPr="0090751C" w14:paraId="507B53B9" w14:textId="77777777" w:rsidTr="005442E5">
        <w:trPr>
          <w:trHeight w:val="947"/>
        </w:trPr>
        <w:tc>
          <w:tcPr>
            <w:tcW w:w="235" w:type="pct"/>
            <w:tcBorders>
              <w:top w:val="single" w:sz="4" w:space="0" w:color="auto"/>
              <w:left w:val="single" w:sz="4" w:space="0" w:color="auto"/>
              <w:bottom w:val="single" w:sz="4" w:space="0" w:color="auto"/>
              <w:right w:val="single" w:sz="4" w:space="0" w:color="auto"/>
            </w:tcBorders>
            <w:vAlign w:val="center"/>
          </w:tcPr>
          <w:p w14:paraId="2B9A9B6B" w14:textId="77777777" w:rsidR="0083204C" w:rsidRPr="00462B08" w:rsidRDefault="0083204C" w:rsidP="00580584">
            <w:pPr>
              <w:spacing w:after="255" w:line="254" w:lineRule="auto"/>
              <w:contextualSpacing/>
              <w:jc w:val="both"/>
              <w:rPr>
                <w:rFonts w:ascii="Times New Roman" w:eastAsia="Calibri" w:hAnsi="Times New Roman" w:cs="Times New Roman"/>
                <w:sz w:val="24"/>
                <w:szCs w:val="24"/>
                <w:lang w:val="en-US"/>
              </w:rPr>
            </w:pPr>
            <w:r w:rsidRPr="00462B08">
              <w:rPr>
                <w:rFonts w:ascii="Times New Roman" w:hAnsi="Times New Roman" w:cs="Times New Roman"/>
                <w:sz w:val="24"/>
                <w:szCs w:val="24"/>
                <w:lang w:val="uz-Latn-UZ"/>
              </w:rPr>
              <w:t>3.</w:t>
            </w:r>
          </w:p>
        </w:tc>
        <w:tc>
          <w:tcPr>
            <w:tcW w:w="2284" w:type="pct"/>
            <w:tcBorders>
              <w:top w:val="single" w:sz="4" w:space="0" w:color="auto"/>
              <w:left w:val="single" w:sz="4" w:space="0" w:color="auto"/>
              <w:right w:val="single" w:sz="4" w:space="0" w:color="auto"/>
            </w:tcBorders>
            <w:vAlign w:val="center"/>
          </w:tcPr>
          <w:p w14:paraId="5D961805" w14:textId="245A01B2" w:rsidR="0083204C" w:rsidRPr="00462B08" w:rsidRDefault="00C77BD7" w:rsidP="00580584">
            <w:pPr>
              <w:spacing w:after="255" w:line="254" w:lineRule="auto"/>
              <w:contextualSpacing/>
              <w:jc w:val="both"/>
              <w:rPr>
                <w:rFonts w:ascii="Times New Roman" w:eastAsia="Calibri" w:hAnsi="Times New Roman" w:cs="Times New Roman"/>
                <w:sz w:val="24"/>
                <w:szCs w:val="24"/>
                <w:lang w:val="uz-Latn-UZ"/>
              </w:rPr>
            </w:pPr>
            <w:r w:rsidRPr="00462B08">
              <w:rPr>
                <w:rFonts w:ascii="Times New Roman" w:eastAsia="Calibri" w:hAnsi="Times New Roman" w:cs="Times New Roman"/>
                <w:sz w:val="24"/>
                <w:szCs w:val="24"/>
                <w:lang w:val="uz-Latn-UZ"/>
              </w:rPr>
              <w:t>Kartalarni 24/7 bloklash imkoniyati va antifrod tizimlarining uzluksiz ishlashini ta</w:t>
            </w:r>
            <w:r w:rsidR="00FF6162">
              <w:rPr>
                <w:rFonts w:ascii="Times New Roman" w:eastAsia="Calibri" w:hAnsi="Times New Roman" w:cs="Times New Roman"/>
                <w:sz w:val="24"/>
                <w:szCs w:val="24"/>
                <w:lang w:val="uz-Latn-UZ"/>
              </w:rPr>
              <w:t>’</w:t>
            </w:r>
            <w:r w:rsidRPr="00462B08">
              <w:rPr>
                <w:rFonts w:ascii="Times New Roman" w:eastAsia="Calibri" w:hAnsi="Times New Roman" w:cs="Times New Roman"/>
                <w:sz w:val="24"/>
                <w:szCs w:val="24"/>
                <w:lang w:val="uz-Latn-UZ"/>
              </w:rPr>
              <w:t>minlash</w:t>
            </w:r>
            <w:r w:rsidR="00FF6162">
              <w:rPr>
                <w:rFonts w:ascii="Times New Roman" w:eastAsia="Calibri" w:hAnsi="Times New Roman" w:cs="Times New Roman"/>
                <w:sz w:val="24"/>
                <w:szCs w:val="24"/>
                <w:lang w:val="uz-Latn-UZ"/>
              </w:rPr>
              <w:t>.</w:t>
            </w:r>
          </w:p>
        </w:tc>
        <w:tc>
          <w:tcPr>
            <w:tcW w:w="668" w:type="pct"/>
            <w:tcBorders>
              <w:top w:val="single" w:sz="4" w:space="0" w:color="auto"/>
              <w:left w:val="single" w:sz="4" w:space="0" w:color="auto"/>
              <w:right w:val="single" w:sz="4" w:space="0" w:color="auto"/>
            </w:tcBorders>
            <w:vAlign w:val="center"/>
          </w:tcPr>
          <w:p w14:paraId="62245A6C" w14:textId="77777777" w:rsidR="0083204C" w:rsidRPr="00462B08" w:rsidRDefault="0083204C" w:rsidP="00580584">
            <w:pPr>
              <w:spacing w:after="255" w:line="254" w:lineRule="auto"/>
              <w:contextualSpacing/>
              <w:jc w:val="center"/>
              <w:rPr>
                <w:rFonts w:ascii="Times New Roman" w:eastAsia="Calibri" w:hAnsi="Times New Roman" w:cs="Times New Roman"/>
                <w:sz w:val="24"/>
                <w:szCs w:val="24"/>
                <w:lang w:val="en-GB"/>
              </w:rPr>
            </w:pPr>
            <w:r w:rsidRPr="00462B08">
              <w:rPr>
                <w:rFonts w:ascii="Times New Roman" w:hAnsi="Times New Roman" w:cs="Times New Roman"/>
                <w:sz w:val="24"/>
                <w:szCs w:val="24"/>
                <w:lang w:val="uz-Latn-UZ"/>
              </w:rPr>
              <w:t>Doimiy</w:t>
            </w:r>
          </w:p>
        </w:tc>
        <w:tc>
          <w:tcPr>
            <w:tcW w:w="1813" w:type="pct"/>
            <w:tcBorders>
              <w:top w:val="single" w:sz="4" w:space="0" w:color="auto"/>
              <w:left w:val="single" w:sz="4" w:space="0" w:color="auto"/>
              <w:right w:val="single" w:sz="4" w:space="0" w:color="auto"/>
            </w:tcBorders>
            <w:shd w:val="clear" w:color="auto" w:fill="FFFFFF"/>
            <w:vAlign w:val="center"/>
          </w:tcPr>
          <w:p w14:paraId="229378EC" w14:textId="4AD783BA" w:rsidR="00C77BD7" w:rsidRPr="00462B08" w:rsidRDefault="009E549E" w:rsidP="00FF6162">
            <w:pPr>
              <w:spacing w:after="255" w:line="254" w:lineRule="auto"/>
              <w:contextualSpacing/>
              <w:jc w:val="both"/>
              <w:rPr>
                <w:rFonts w:ascii="Times New Roman" w:hAnsi="Times New Roman" w:cs="Times New Roman"/>
                <w:color w:val="000000" w:themeColor="text1"/>
                <w:sz w:val="24"/>
                <w:szCs w:val="24"/>
                <w:lang w:val="uz-Latn-UZ"/>
              </w:rPr>
            </w:pPr>
            <w:r w:rsidRPr="00462B08">
              <w:rPr>
                <w:rFonts w:ascii="Times New Roman" w:hAnsi="Times New Roman" w:cs="Times New Roman"/>
                <w:color w:val="000000" w:themeColor="text1"/>
                <w:sz w:val="24"/>
                <w:szCs w:val="24"/>
                <w:lang w:val="uz-Latn-UZ"/>
              </w:rPr>
              <w:t xml:space="preserve">Bank kartalari </w:t>
            </w:r>
            <w:r w:rsidR="00FF6162" w:rsidRPr="00462B08">
              <w:rPr>
                <w:rFonts w:ascii="Times New Roman" w:hAnsi="Times New Roman" w:cs="Times New Roman"/>
                <w:color w:val="000000" w:themeColor="text1"/>
                <w:sz w:val="24"/>
                <w:szCs w:val="24"/>
                <w:lang w:val="uz-Latn-UZ"/>
              </w:rPr>
              <w:t>boshqarmasi</w:t>
            </w:r>
            <w:r w:rsidRPr="00462B08">
              <w:rPr>
                <w:rFonts w:ascii="Times New Roman" w:hAnsi="Times New Roman" w:cs="Times New Roman"/>
                <w:color w:val="000000" w:themeColor="text1"/>
                <w:sz w:val="24"/>
                <w:szCs w:val="24"/>
                <w:lang w:val="uz-Latn-UZ"/>
              </w:rPr>
              <w:t>;</w:t>
            </w:r>
          </w:p>
          <w:p w14:paraId="23DF8197" w14:textId="641810B3" w:rsidR="0083204C" w:rsidRPr="00462B08" w:rsidRDefault="00C77BD7" w:rsidP="00FF6162">
            <w:pPr>
              <w:spacing w:after="255" w:line="254" w:lineRule="auto"/>
              <w:contextualSpacing/>
              <w:jc w:val="both"/>
              <w:rPr>
                <w:rFonts w:ascii="Times New Roman" w:eastAsia="Calibri" w:hAnsi="Times New Roman" w:cs="Times New Roman"/>
                <w:sz w:val="24"/>
                <w:szCs w:val="24"/>
                <w:lang w:val="en-GB"/>
              </w:rPr>
            </w:pPr>
            <w:r w:rsidRPr="00462B08">
              <w:rPr>
                <w:rFonts w:ascii="Times New Roman" w:eastAsia="Calibri" w:hAnsi="Times New Roman" w:cs="Times New Roman"/>
                <w:sz w:val="24"/>
                <w:szCs w:val="24"/>
                <w:lang w:val="en-GB"/>
              </w:rPr>
              <w:t>Antifr</w:t>
            </w:r>
            <w:r w:rsidR="009E549E" w:rsidRPr="00462B08">
              <w:rPr>
                <w:rFonts w:ascii="Times New Roman" w:eastAsia="Calibri" w:hAnsi="Times New Roman" w:cs="Times New Roman"/>
                <w:sz w:val="24"/>
                <w:szCs w:val="24"/>
                <w:lang w:val="en-GB"/>
              </w:rPr>
              <w:t>o</w:t>
            </w:r>
            <w:r w:rsidRPr="00462B08">
              <w:rPr>
                <w:rFonts w:ascii="Times New Roman" w:eastAsia="Calibri" w:hAnsi="Times New Roman" w:cs="Times New Roman"/>
                <w:sz w:val="24"/>
                <w:szCs w:val="24"/>
                <w:lang w:val="en-GB"/>
              </w:rPr>
              <w:t xml:space="preserve">d; </w:t>
            </w:r>
            <w:r w:rsidR="006E45BD" w:rsidRPr="00462B08">
              <w:rPr>
                <w:rFonts w:ascii="Times New Roman" w:hAnsi="Times New Roman" w:cs="Times New Roman"/>
                <w:color w:val="000000" w:themeColor="text1"/>
                <w:sz w:val="24"/>
                <w:szCs w:val="24"/>
                <w:lang w:val="uz-Latn-UZ"/>
              </w:rPr>
              <w:t>IT xavfsizl</w:t>
            </w:r>
            <w:r w:rsidR="0090751C">
              <w:rPr>
                <w:rFonts w:ascii="Times New Roman" w:hAnsi="Times New Roman" w:cs="Times New Roman"/>
                <w:color w:val="000000" w:themeColor="text1"/>
                <w:sz w:val="24"/>
                <w:szCs w:val="24"/>
                <w:lang w:val="uz-Latn-UZ"/>
              </w:rPr>
              <w:t>i</w:t>
            </w:r>
            <w:r w:rsidR="006E45BD" w:rsidRPr="00462B08">
              <w:rPr>
                <w:rFonts w:ascii="Times New Roman" w:hAnsi="Times New Roman" w:cs="Times New Roman"/>
                <w:color w:val="000000" w:themeColor="text1"/>
                <w:sz w:val="24"/>
                <w:szCs w:val="24"/>
                <w:lang w:val="uz-Latn-UZ"/>
              </w:rPr>
              <w:t xml:space="preserve">gi </w:t>
            </w:r>
            <w:r w:rsidR="00FF6162" w:rsidRPr="00462B08">
              <w:rPr>
                <w:rFonts w:ascii="Times New Roman" w:hAnsi="Times New Roman" w:cs="Times New Roman"/>
                <w:color w:val="000000" w:themeColor="text1"/>
                <w:sz w:val="24"/>
                <w:szCs w:val="24"/>
                <w:lang w:val="uz-Latn-UZ"/>
              </w:rPr>
              <w:t>boshqarmasi</w:t>
            </w:r>
            <w:r w:rsidR="00550957" w:rsidRPr="00462B08">
              <w:rPr>
                <w:rFonts w:ascii="Times New Roman" w:hAnsi="Times New Roman" w:cs="Times New Roman"/>
                <w:color w:val="000000" w:themeColor="text1"/>
                <w:sz w:val="24"/>
                <w:szCs w:val="24"/>
                <w:lang w:val="uz-Latn-UZ"/>
              </w:rPr>
              <w:t xml:space="preserve">; </w:t>
            </w:r>
            <w:r w:rsidR="006E45BD" w:rsidRPr="00462B08">
              <w:rPr>
                <w:rFonts w:ascii="Times New Roman" w:eastAsia="Calibri" w:hAnsi="Times New Roman" w:cs="Times New Roman"/>
                <w:sz w:val="24"/>
                <w:szCs w:val="24"/>
                <w:lang w:val="en-GB"/>
              </w:rPr>
              <w:t xml:space="preserve">Raqamli bank tizimlari </w:t>
            </w:r>
            <w:r w:rsidR="00FF6162" w:rsidRPr="00462B08">
              <w:rPr>
                <w:rFonts w:ascii="Times New Roman" w:eastAsia="Calibri" w:hAnsi="Times New Roman" w:cs="Times New Roman"/>
                <w:sz w:val="24"/>
                <w:szCs w:val="24"/>
                <w:lang w:val="en-GB"/>
              </w:rPr>
              <w:t>boshqarmasi</w:t>
            </w:r>
            <w:r w:rsidR="006E45BD" w:rsidRPr="00462B08">
              <w:rPr>
                <w:rFonts w:ascii="Times New Roman" w:eastAsia="Calibri" w:hAnsi="Times New Roman" w:cs="Times New Roman"/>
                <w:sz w:val="24"/>
                <w:szCs w:val="24"/>
                <w:lang w:val="en-GB"/>
              </w:rPr>
              <w:t>.</w:t>
            </w:r>
          </w:p>
        </w:tc>
      </w:tr>
      <w:tr w:rsidR="00550957" w:rsidRPr="0090751C" w14:paraId="1599EE40" w14:textId="77777777" w:rsidTr="005442E5">
        <w:trPr>
          <w:trHeight w:val="947"/>
        </w:trPr>
        <w:tc>
          <w:tcPr>
            <w:tcW w:w="235" w:type="pct"/>
          </w:tcPr>
          <w:p w14:paraId="14A31323" w14:textId="6CC6FD23" w:rsidR="00550957" w:rsidRPr="00462B08" w:rsidRDefault="00550957" w:rsidP="0068663F">
            <w:pPr>
              <w:spacing w:after="255" w:line="254" w:lineRule="auto"/>
              <w:contextualSpacing/>
              <w:jc w:val="both"/>
              <w:rPr>
                <w:rFonts w:ascii="Times New Roman" w:eastAsia="Calibri" w:hAnsi="Times New Roman" w:cs="Times New Roman"/>
                <w:sz w:val="24"/>
                <w:szCs w:val="24"/>
                <w:lang w:val="en-US"/>
              </w:rPr>
            </w:pPr>
            <w:r w:rsidRPr="00462B08">
              <w:rPr>
                <w:rFonts w:ascii="Times New Roman" w:hAnsi="Times New Roman" w:cs="Times New Roman"/>
                <w:sz w:val="24"/>
                <w:szCs w:val="24"/>
                <w:lang w:val="uz-Latn-UZ"/>
              </w:rPr>
              <w:t>4.</w:t>
            </w:r>
          </w:p>
        </w:tc>
        <w:tc>
          <w:tcPr>
            <w:tcW w:w="2284" w:type="pct"/>
          </w:tcPr>
          <w:p w14:paraId="4F21F00B" w14:textId="7F1B4444" w:rsidR="00550957" w:rsidRPr="00462B08" w:rsidRDefault="00550957" w:rsidP="0068663F">
            <w:pPr>
              <w:spacing w:after="255" w:line="254" w:lineRule="auto"/>
              <w:contextualSpacing/>
              <w:jc w:val="both"/>
              <w:rPr>
                <w:rFonts w:ascii="Times New Roman" w:eastAsia="Calibri" w:hAnsi="Times New Roman" w:cs="Times New Roman"/>
                <w:sz w:val="24"/>
                <w:szCs w:val="24"/>
                <w:lang w:val="uz-Latn-UZ"/>
              </w:rPr>
            </w:pPr>
            <w:r w:rsidRPr="00462B08">
              <w:rPr>
                <w:rFonts w:ascii="Times New Roman" w:eastAsia="Calibri" w:hAnsi="Times New Roman" w:cs="Times New Roman"/>
                <w:sz w:val="24"/>
                <w:szCs w:val="24"/>
                <w:lang w:val="uz-Latn-UZ"/>
              </w:rPr>
              <w:t>Valyuta operatsiyalarini ko</w:t>
            </w:r>
            <w:r w:rsidR="00FF6162">
              <w:rPr>
                <w:rFonts w:ascii="Times New Roman" w:eastAsia="Calibri" w:hAnsi="Times New Roman" w:cs="Times New Roman"/>
                <w:sz w:val="24"/>
                <w:szCs w:val="24"/>
                <w:lang w:val="uz-Latn-UZ"/>
              </w:rPr>
              <w:t>‘</w:t>
            </w:r>
            <w:r w:rsidRPr="00462B08">
              <w:rPr>
                <w:rFonts w:ascii="Times New Roman" w:eastAsia="Calibri" w:hAnsi="Times New Roman" w:cs="Times New Roman"/>
                <w:sz w:val="24"/>
                <w:szCs w:val="24"/>
                <w:lang w:val="uz-Latn-UZ"/>
              </w:rPr>
              <w:t>rib chiqish bo</w:t>
            </w:r>
            <w:r w:rsidR="00FF6162">
              <w:rPr>
                <w:rFonts w:ascii="Times New Roman" w:eastAsia="Calibri" w:hAnsi="Times New Roman" w:cs="Times New Roman"/>
                <w:sz w:val="24"/>
                <w:szCs w:val="24"/>
                <w:lang w:val="uz-Latn-UZ"/>
              </w:rPr>
              <w:t>‘</w:t>
            </w:r>
            <w:r w:rsidRPr="00462B08">
              <w:rPr>
                <w:rFonts w:ascii="Times New Roman" w:eastAsia="Calibri" w:hAnsi="Times New Roman" w:cs="Times New Roman"/>
                <w:sz w:val="24"/>
                <w:szCs w:val="24"/>
                <w:lang w:val="uz-Latn-UZ"/>
              </w:rPr>
              <w:t>yicha ishki yo</w:t>
            </w:r>
            <w:r w:rsidR="00FF6162">
              <w:rPr>
                <w:rFonts w:ascii="Times New Roman" w:eastAsia="Calibri" w:hAnsi="Times New Roman" w:cs="Times New Roman"/>
                <w:sz w:val="24"/>
                <w:szCs w:val="24"/>
                <w:lang w:val="uz-Latn-UZ"/>
              </w:rPr>
              <w:t>‘</w:t>
            </w:r>
            <w:r w:rsidRPr="00462B08">
              <w:rPr>
                <w:rFonts w:ascii="Times New Roman" w:eastAsia="Calibri" w:hAnsi="Times New Roman" w:cs="Times New Roman"/>
                <w:sz w:val="24"/>
                <w:szCs w:val="24"/>
                <w:lang w:val="uz-Latn-UZ"/>
              </w:rPr>
              <w:t>riqnomalarni amaldagi talablar asosida yangilab borish.</w:t>
            </w:r>
          </w:p>
        </w:tc>
        <w:tc>
          <w:tcPr>
            <w:tcW w:w="668" w:type="pct"/>
          </w:tcPr>
          <w:p w14:paraId="216AC8C4" w14:textId="77777777" w:rsidR="00650053" w:rsidRPr="00462B08" w:rsidRDefault="00650053" w:rsidP="0068663F">
            <w:pPr>
              <w:spacing w:after="255" w:line="254" w:lineRule="auto"/>
              <w:contextualSpacing/>
              <w:jc w:val="center"/>
              <w:rPr>
                <w:rFonts w:ascii="Times New Roman" w:hAnsi="Times New Roman" w:cs="Times New Roman"/>
                <w:sz w:val="24"/>
                <w:szCs w:val="24"/>
                <w:lang w:val="uz-Latn-UZ"/>
              </w:rPr>
            </w:pPr>
          </w:p>
          <w:p w14:paraId="6402B707" w14:textId="282B550E" w:rsidR="00550957" w:rsidRPr="00462B08" w:rsidRDefault="00550957" w:rsidP="0068663F">
            <w:pPr>
              <w:spacing w:after="255" w:line="254" w:lineRule="auto"/>
              <w:contextualSpacing/>
              <w:jc w:val="center"/>
              <w:rPr>
                <w:rFonts w:ascii="Times New Roman" w:eastAsia="Calibri" w:hAnsi="Times New Roman" w:cs="Times New Roman"/>
                <w:sz w:val="24"/>
                <w:szCs w:val="24"/>
                <w:lang w:val="en-GB"/>
              </w:rPr>
            </w:pPr>
            <w:r w:rsidRPr="00462B08">
              <w:rPr>
                <w:rFonts w:ascii="Times New Roman" w:hAnsi="Times New Roman" w:cs="Times New Roman"/>
                <w:sz w:val="24"/>
                <w:szCs w:val="24"/>
                <w:lang w:val="uz-Latn-UZ"/>
              </w:rPr>
              <w:t>Doimiy</w:t>
            </w:r>
          </w:p>
        </w:tc>
        <w:tc>
          <w:tcPr>
            <w:tcW w:w="1813" w:type="pct"/>
          </w:tcPr>
          <w:p w14:paraId="573469FF" w14:textId="191EAD0C" w:rsidR="00550957" w:rsidRPr="00462B08" w:rsidRDefault="006E45BD" w:rsidP="00FF6162">
            <w:pPr>
              <w:spacing w:after="255" w:line="254" w:lineRule="auto"/>
              <w:contextualSpacing/>
              <w:jc w:val="both"/>
              <w:rPr>
                <w:rFonts w:ascii="Times New Roman" w:hAnsi="Times New Roman" w:cs="Times New Roman"/>
                <w:color w:val="000000" w:themeColor="text1"/>
                <w:sz w:val="24"/>
                <w:szCs w:val="24"/>
                <w:lang w:val="uz-Latn-UZ"/>
              </w:rPr>
            </w:pPr>
            <w:r w:rsidRPr="00462B08">
              <w:rPr>
                <w:rFonts w:ascii="Times New Roman" w:hAnsi="Times New Roman" w:cs="Times New Roman"/>
                <w:color w:val="000000" w:themeColor="text1"/>
                <w:sz w:val="24"/>
                <w:szCs w:val="24"/>
                <w:lang w:val="uz-Latn-UZ"/>
              </w:rPr>
              <w:t xml:space="preserve">Valyuta nazorati </w:t>
            </w:r>
            <w:r w:rsidR="00FF6162" w:rsidRPr="00462B08">
              <w:rPr>
                <w:rFonts w:ascii="Times New Roman" w:eastAsia="Calibri" w:hAnsi="Times New Roman" w:cs="Times New Roman"/>
                <w:sz w:val="24"/>
                <w:szCs w:val="24"/>
                <w:lang w:val="en-GB"/>
              </w:rPr>
              <w:t>boshqarmasi</w:t>
            </w:r>
            <w:r w:rsidR="00550957" w:rsidRPr="00462B08">
              <w:rPr>
                <w:rFonts w:ascii="Times New Roman" w:hAnsi="Times New Roman" w:cs="Times New Roman"/>
                <w:color w:val="000000" w:themeColor="text1"/>
                <w:sz w:val="24"/>
                <w:szCs w:val="24"/>
                <w:lang w:val="uz-Latn-UZ"/>
              </w:rPr>
              <w:t>;</w:t>
            </w:r>
          </w:p>
          <w:p w14:paraId="10D34F67" w14:textId="7A316237" w:rsidR="00550957" w:rsidRPr="00462B08" w:rsidRDefault="006E45BD" w:rsidP="00FF6162">
            <w:pPr>
              <w:spacing w:after="255" w:line="254" w:lineRule="auto"/>
              <w:contextualSpacing/>
              <w:jc w:val="both"/>
              <w:rPr>
                <w:rFonts w:ascii="Times New Roman" w:eastAsia="Calibri" w:hAnsi="Times New Roman" w:cs="Times New Roman"/>
                <w:sz w:val="24"/>
                <w:szCs w:val="24"/>
                <w:lang w:val="en-GB"/>
              </w:rPr>
            </w:pPr>
            <w:r w:rsidRPr="00462B08">
              <w:rPr>
                <w:rFonts w:ascii="Times New Roman" w:eastAsia="Calibri" w:hAnsi="Times New Roman" w:cs="Times New Roman"/>
                <w:sz w:val="24"/>
                <w:szCs w:val="24"/>
                <w:lang w:val="en-GB"/>
              </w:rPr>
              <w:t xml:space="preserve">Komplayens </w:t>
            </w:r>
            <w:r w:rsidR="00FF6162" w:rsidRPr="00462B08">
              <w:rPr>
                <w:rFonts w:ascii="Times New Roman" w:eastAsia="Calibri" w:hAnsi="Times New Roman" w:cs="Times New Roman"/>
                <w:sz w:val="24"/>
                <w:szCs w:val="24"/>
                <w:lang w:val="en-GB"/>
              </w:rPr>
              <w:t>boshqarmasi</w:t>
            </w:r>
            <w:r w:rsidR="00550957" w:rsidRPr="00462B08">
              <w:rPr>
                <w:rFonts w:ascii="Times New Roman" w:eastAsia="Calibri" w:hAnsi="Times New Roman" w:cs="Times New Roman"/>
                <w:sz w:val="24"/>
                <w:szCs w:val="24"/>
                <w:lang w:val="en-GB"/>
              </w:rPr>
              <w:t>.</w:t>
            </w:r>
            <w:r w:rsidR="00550957" w:rsidRPr="00462B08">
              <w:rPr>
                <w:rFonts w:ascii="Times New Roman" w:hAnsi="Times New Roman" w:cs="Times New Roman"/>
                <w:color w:val="000000" w:themeColor="text1"/>
                <w:sz w:val="24"/>
                <w:szCs w:val="24"/>
                <w:lang w:val="uz-Latn-UZ"/>
              </w:rPr>
              <w:t xml:space="preserve"> </w:t>
            </w:r>
          </w:p>
        </w:tc>
      </w:tr>
    </w:tbl>
    <w:p w14:paraId="2463938D" w14:textId="77777777" w:rsidR="00377595" w:rsidRPr="00462B08" w:rsidRDefault="00377595" w:rsidP="00384744">
      <w:pPr>
        <w:jc w:val="both"/>
        <w:rPr>
          <w:rFonts w:ascii="Times New Roman" w:hAnsi="Times New Roman" w:cs="Times New Roman"/>
          <w:sz w:val="24"/>
          <w:szCs w:val="24"/>
          <w:lang w:val="en-GB"/>
        </w:rPr>
      </w:pPr>
    </w:p>
    <w:sectPr w:rsidR="00377595" w:rsidRPr="00462B08" w:rsidSect="00BE07AB">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4F3"/>
    <w:multiLevelType w:val="hybridMultilevel"/>
    <w:tmpl w:val="8CC61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70A51"/>
    <w:multiLevelType w:val="hybridMultilevel"/>
    <w:tmpl w:val="D08C2B2E"/>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072E32"/>
    <w:multiLevelType w:val="hybridMultilevel"/>
    <w:tmpl w:val="F38C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A30C8A"/>
    <w:multiLevelType w:val="hybridMultilevel"/>
    <w:tmpl w:val="A036C54C"/>
    <w:lvl w:ilvl="0" w:tplc="C64C0E36">
      <w:start w:val="2024"/>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F233F8"/>
    <w:multiLevelType w:val="hybridMultilevel"/>
    <w:tmpl w:val="D3DAF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1C5DE9"/>
    <w:multiLevelType w:val="hybridMultilevel"/>
    <w:tmpl w:val="93B4017C"/>
    <w:lvl w:ilvl="0" w:tplc="5784CA0A">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565C1F"/>
    <w:multiLevelType w:val="hybridMultilevel"/>
    <w:tmpl w:val="9F60B29A"/>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C0"/>
    <w:rsid w:val="0000479A"/>
    <w:rsid w:val="00007B14"/>
    <w:rsid w:val="00007E83"/>
    <w:rsid w:val="00015B10"/>
    <w:rsid w:val="00016CBE"/>
    <w:rsid w:val="00022336"/>
    <w:rsid w:val="00025D8A"/>
    <w:rsid w:val="00047DA5"/>
    <w:rsid w:val="00057207"/>
    <w:rsid w:val="00057A18"/>
    <w:rsid w:val="00061698"/>
    <w:rsid w:val="00063006"/>
    <w:rsid w:val="0007478C"/>
    <w:rsid w:val="00074BFE"/>
    <w:rsid w:val="00077B8D"/>
    <w:rsid w:val="00093D0B"/>
    <w:rsid w:val="000B3F09"/>
    <w:rsid w:val="000C0397"/>
    <w:rsid w:val="000C2B74"/>
    <w:rsid w:val="000E551B"/>
    <w:rsid w:val="000F377F"/>
    <w:rsid w:val="00102040"/>
    <w:rsid w:val="0010563B"/>
    <w:rsid w:val="00136D62"/>
    <w:rsid w:val="001410BA"/>
    <w:rsid w:val="001416F5"/>
    <w:rsid w:val="00155079"/>
    <w:rsid w:val="001557E9"/>
    <w:rsid w:val="00164ABB"/>
    <w:rsid w:val="0018225E"/>
    <w:rsid w:val="001A36C4"/>
    <w:rsid w:val="001A428A"/>
    <w:rsid w:val="001C20E4"/>
    <w:rsid w:val="001C42C8"/>
    <w:rsid w:val="001C64C8"/>
    <w:rsid w:val="001C7C37"/>
    <w:rsid w:val="001D3174"/>
    <w:rsid w:val="001D709A"/>
    <w:rsid w:val="001E3AA1"/>
    <w:rsid w:val="001E3FD5"/>
    <w:rsid w:val="001E6488"/>
    <w:rsid w:val="001F2775"/>
    <w:rsid w:val="002225D6"/>
    <w:rsid w:val="002251AB"/>
    <w:rsid w:val="002341B8"/>
    <w:rsid w:val="00255B6D"/>
    <w:rsid w:val="00264A0E"/>
    <w:rsid w:val="00272522"/>
    <w:rsid w:val="0027644E"/>
    <w:rsid w:val="002A0896"/>
    <w:rsid w:val="002A60E1"/>
    <w:rsid w:val="002C11C4"/>
    <w:rsid w:val="002C3666"/>
    <w:rsid w:val="002D264D"/>
    <w:rsid w:val="002D7E2C"/>
    <w:rsid w:val="002F098B"/>
    <w:rsid w:val="002F46CD"/>
    <w:rsid w:val="002F4F4E"/>
    <w:rsid w:val="002F503C"/>
    <w:rsid w:val="00325D3C"/>
    <w:rsid w:val="00325DC3"/>
    <w:rsid w:val="0034562E"/>
    <w:rsid w:val="00351C19"/>
    <w:rsid w:val="0035221B"/>
    <w:rsid w:val="003709F3"/>
    <w:rsid w:val="003714AE"/>
    <w:rsid w:val="00377595"/>
    <w:rsid w:val="0037794A"/>
    <w:rsid w:val="00384744"/>
    <w:rsid w:val="00385282"/>
    <w:rsid w:val="00385DAF"/>
    <w:rsid w:val="003908A3"/>
    <w:rsid w:val="003A39B1"/>
    <w:rsid w:val="003A54E4"/>
    <w:rsid w:val="003B2D87"/>
    <w:rsid w:val="003D1AF9"/>
    <w:rsid w:val="003E2CDC"/>
    <w:rsid w:val="003E3005"/>
    <w:rsid w:val="00400A41"/>
    <w:rsid w:val="00404B43"/>
    <w:rsid w:val="004060C4"/>
    <w:rsid w:val="00410DC4"/>
    <w:rsid w:val="004169CC"/>
    <w:rsid w:val="00431CFD"/>
    <w:rsid w:val="00435826"/>
    <w:rsid w:val="00462B08"/>
    <w:rsid w:val="004754F5"/>
    <w:rsid w:val="004771F7"/>
    <w:rsid w:val="004B0EEA"/>
    <w:rsid w:val="004B1C99"/>
    <w:rsid w:val="004B215D"/>
    <w:rsid w:val="004C08C4"/>
    <w:rsid w:val="004C7433"/>
    <w:rsid w:val="004E0A81"/>
    <w:rsid w:val="004E5D62"/>
    <w:rsid w:val="004E7C3C"/>
    <w:rsid w:val="005016CD"/>
    <w:rsid w:val="005121C9"/>
    <w:rsid w:val="00514A70"/>
    <w:rsid w:val="00525E9F"/>
    <w:rsid w:val="00536CF2"/>
    <w:rsid w:val="00537288"/>
    <w:rsid w:val="00542B72"/>
    <w:rsid w:val="00543CA6"/>
    <w:rsid w:val="005442E5"/>
    <w:rsid w:val="005452F1"/>
    <w:rsid w:val="00550957"/>
    <w:rsid w:val="00567489"/>
    <w:rsid w:val="005700BA"/>
    <w:rsid w:val="00571C98"/>
    <w:rsid w:val="00572382"/>
    <w:rsid w:val="00595D6B"/>
    <w:rsid w:val="005A78AD"/>
    <w:rsid w:val="005B0A50"/>
    <w:rsid w:val="005B64CF"/>
    <w:rsid w:val="005B66A1"/>
    <w:rsid w:val="005C0E26"/>
    <w:rsid w:val="005C290B"/>
    <w:rsid w:val="005C2C2C"/>
    <w:rsid w:val="005C372C"/>
    <w:rsid w:val="005D6F05"/>
    <w:rsid w:val="005E09CC"/>
    <w:rsid w:val="005E462E"/>
    <w:rsid w:val="005E734D"/>
    <w:rsid w:val="005E79E1"/>
    <w:rsid w:val="006025CA"/>
    <w:rsid w:val="00604BFD"/>
    <w:rsid w:val="00612C56"/>
    <w:rsid w:val="00615AB4"/>
    <w:rsid w:val="0061746E"/>
    <w:rsid w:val="00627F8B"/>
    <w:rsid w:val="00637AB2"/>
    <w:rsid w:val="0064646B"/>
    <w:rsid w:val="00650053"/>
    <w:rsid w:val="00651640"/>
    <w:rsid w:val="00651B09"/>
    <w:rsid w:val="006732FC"/>
    <w:rsid w:val="00673AA6"/>
    <w:rsid w:val="0067430E"/>
    <w:rsid w:val="00674668"/>
    <w:rsid w:val="00675756"/>
    <w:rsid w:val="00675A74"/>
    <w:rsid w:val="006A106D"/>
    <w:rsid w:val="006A43E8"/>
    <w:rsid w:val="006B0FCC"/>
    <w:rsid w:val="006B1D75"/>
    <w:rsid w:val="006C0723"/>
    <w:rsid w:val="006D5BBB"/>
    <w:rsid w:val="006E2893"/>
    <w:rsid w:val="006E45BD"/>
    <w:rsid w:val="006E6F7E"/>
    <w:rsid w:val="006F2BAF"/>
    <w:rsid w:val="006F61D6"/>
    <w:rsid w:val="0072301C"/>
    <w:rsid w:val="007410E4"/>
    <w:rsid w:val="007533D8"/>
    <w:rsid w:val="00753821"/>
    <w:rsid w:val="00761B20"/>
    <w:rsid w:val="00763425"/>
    <w:rsid w:val="00763D0B"/>
    <w:rsid w:val="007675A8"/>
    <w:rsid w:val="00771E97"/>
    <w:rsid w:val="00793483"/>
    <w:rsid w:val="00797681"/>
    <w:rsid w:val="007C4ABF"/>
    <w:rsid w:val="007D51B4"/>
    <w:rsid w:val="00802FBC"/>
    <w:rsid w:val="0081622C"/>
    <w:rsid w:val="008249C2"/>
    <w:rsid w:val="008304BB"/>
    <w:rsid w:val="0083204C"/>
    <w:rsid w:val="00833AA6"/>
    <w:rsid w:val="00834FDF"/>
    <w:rsid w:val="008353A0"/>
    <w:rsid w:val="00846B08"/>
    <w:rsid w:val="00856AB3"/>
    <w:rsid w:val="0086653B"/>
    <w:rsid w:val="00866C76"/>
    <w:rsid w:val="008866D9"/>
    <w:rsid w:val="00886DAC"/>
    <w:rsid w:val="008B3227"/>
    <w:rsid w:val="008D6279"/>
    <w:rsid w:val="008E1ED9"/>
    <w:rsid w:val="008E2FC8"/>
    <w:rsid w:val="008F7948"/>
    <w:rsid w:val="00902D8E"/>
    <w:rsid w:val="0090751C"/>
    <w:rsid w:val="00945FAC"/>
    <w:rsid w:val="00947FD4"/>
    <w:rsid w:val="00953240"/>
    <w:rsid w:val="00963793"/>
    <w:rsid w:val="00964DA1"/>
    <w:rsid w:val="00967337"/>
    <w:rsid w:val="00983517"/>
    <w:rsid w:val="009862FE"/>
    <w:rsid w:val="00995443"/>
    <w:rsid w:val="00995BF4"/>
    <w:rsid w:val="00995C58"/>
    <w:rsid w:val="00996869"/>
    <w:rsid w:val="00996BB2"/>
    <w:rsid w:val="009C1687"/>
    <w:rsid w:val="009D748B"/>
    <w:rsid w:val="009D7B62"/>
    <w:rsid w:val="009E549E"/>
    <w:rsid w:val="00A01A29"/>
    <w:rsid w:val="00A251A3"/>
    <w:rsid w:val="00A31890"/>
    <w:rsid w:val="00A446C7"/>
    <w:rsid w:val="00A62D54"/>
    <w:rsid w:val="00A7611C"/>
    <w:rsid w:val="00A91B2E"/>
    <w:rsid w:val="00A9731C"/>
    <w:rsid w:val="00A9769D"/>
    <w:rsid w:val="00AA1CDF"/>
    <w:rsid w:val="00AB5F51"/>
    <w:rsid w:val="00AC5C6F"/>
    <w:rsid w:val="00AD22B9"/>
    <w:rsid w:val="00AD6351"/>
    <w:rsid w:val="00AD7230"/>
    <w:rsid w:val="00AE4BC4"/>
    <w:rsid w:val="00B04808"/>
    <w:rsid w:val="00B07179"/>
    <w:rsid w:val="00B375FE"/>
    <w:rsid w:val="00B42583"/>
    <w:rsid w:val="00B56F0E"/>
    <w:rsid w:val="00B60476"/>
    <w:rsid w:val="00B751CD"/>
    <w:rsid w:val="00B773C2"/>
    <w:rsid w:val="00B90C1C"/>
    <w:rsid w:val="00BA1F80"/>
    <w:rsid w:val="00BA5C60"/>
    <w:rsid w:val="00BB1893"/>
    <w:rsid w:val="00BB481C"/>
    <w:rsid w:val="00BC56D1"/>
    <w:rsid w:val="00BC6C32"/>
    <w:rsid w:val="00BD365D"/>
    <w:rsid w:val="00BE07AB"/>
    <w:rsid w:val="00BF3730"/>
    <w:rsid w:val="00C111F7"/>
    <w:rsid w:val="00C35E03"/>
    <w:rsid w:val="00C56A38"/>
    <w:rsid w:val="00C70B83"/>
    <w:rsid w:val="00C7403D"/>
    <w:rsid w:val="00C77BD7"/>
    <w:rsid w:val="00C86541"/>
    <w:rsid w:val="00CB6516"/>
    <w:rsid w:val="00CC16A4"/>
    <w:rsid w:val="00CC35D0"/>
    <w:rsid w:val="00CC7B27"/>
    <w:rsid w:val="00CE0F89"/>
    <w:rsid w:val="00D20D08"/>
    <w:rsid w:val="00D23451"/>
    <w:rsid w:val="00D23966"/>
    <w:rsid w:val="00D26073"/>
    <w:rsid w:val="00D264E0"/>
    <w:rsid w:val="00D265D4"/>
    <w:rsid w:val="00D2695E"/>
    <w:rsid w:val="00D36566"/>
    <w:rsid w:val="00D37F58"/>
    <w:rsid w:val="00D40053"/>
    <w:rsid w:val="00D45CD4"/>
    <w:rsid w:val="00D765C8"/>
    <w:rsid w:val="00D87BE5"/>
    <w:rsid w:val="00D931D2"/>
    <w:rsid w:val="00DB59C0"/>
    <w:rsid w:val="00DC0C2D"/>
    <w:rsid w:val="00DD3821"/>
    <w:rsid w:val="00DE14CF"/>
    <w:rsid w:val="00DE3C5B"/>
    <w:rsid w:val="00DF019B"/>
    <w:rsid w:val="00E00580"/>
    <w:rsid w:val="00E10286"/>
    <w:rsid w:val="00E15756"/>
    <w:rsid w:val="00E45175"/>
    <w:rsid w:val="00E55145"/>
    <w:rsid w:val="00E613FF"/>
    <w:rsid w:val="00E76082"/>
    <w:rsid w:val="00E82109"/>
    <w:rsid w:val="00E90D63"/>
    <w:rsid w:val="00E93D35"/>
    <w:rsid w:val="00E943FC"/>
    <w:rsid w:val="00E964C5"/>
    <w:rsid w:val="00EC0BB3"/>
    <w:rsid w:val="00EC11DB"/>
    <w:rsid w:val="00EC602C"/>
    <w:rsid w:val="00EE2CDB"/>
    <w:rsid w:val="00EE53DC"/>
    <w:rsid w:val="00EF64F2"/>
    <w:rsid w:val="00EF73AD"/>
    <w:rsid w:val="00F00A65"/>
    <w:rsid w:val="00F01743"/>
    <w:rsid w:val="00F11345"/>
    <w:rsid w:val="00F12730"/>
    <w:rsid w:val="00F277E0"/>
    <w:rsid w:val="00F4423D"/>
    <w:rsid w:val="00F51A22"/>
    <w:rsid w:val="00F51FD8"/>
    <w:rsid w:val="00F622AF"/>
    <w:rsid w:val="00F840B0"/>
    <w:rsid w:val="00F8632E"/>
    <w:rsid w:val="00FA3F67"/>
    <w:rsid w:val="00FC4344"/>
    <w:rsid w:val="00FC685F"/>
    <w:rsid w:val="00FD51D7"/>
    <w:rsid w:val="00FF3C39"/>
    <w:rsid w:val="00FF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83F0"/>
  <w15:chartTrackingRefBased/>
  <w15:docId w15:val="{C8C3F58C-A9C4-4D03-9D76-41B1B2CE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F1"/>
    <w:pPr>
      <w:spacing w:line="259" w:lineRule="auto"/>
      <w:ind w:left="720"/>
      <w:contextualSpacing/>
    </w:pPr>
  </w:style>
  <w:style w:type="table" w:styleId="TableGrid">
    <w:name w:val="Table Grid"/>
    <w:basedOn w:val="TableNormal"/>
    <w:uiPriority w:val="39"/>
    <w:rsid w:val="00EE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375FE"/>
  </w:style>
  <w:style w:type="paragraph" w:styleId="NormalWeb">
    <w:name w:val="Normal (Web)"/>
    <w:basedOn w:val="Normal"/>
    <w:uiPriority w:val="99"/>
    <w:semiHidden/>
    <w:unhideWhenUsed/>
    <w:rsid w:val="00771E97"/>
    <w:pPr>
      <w:spacing w:before="100" w:beforeAutospacing="1" w:after="100" w:afterAutospacing="1" w:line="240" w:lineRule="auto"/>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6263">
      <w:bodyDiv w:val="1"/>
      <w:marLeft w:val="0"/>
      <w:marRight w:val="0"/>
      <w:marTop w:val="0"/>
      <w:marBottom w:val="0"/>
      <w:divBdr>
        <w:top w:val="none" w:sz="0" w:space="0" w:color="auto"/>
        <w:left w:val="none" w:sz="0" w:space="0" w:color="auto"/>
        <w:bottom w:val="none" w:sz="0" w:space="0" w:color="auto"/>
        <w:right w:val="none" w:sz="0" w:space="0" w:color="auto"/>
      </w:divBdr>
    </w:div>
    <w:div w:id="271326458">
      <w:bodyDiv w:val="1"/>
      <w:marLeft w:val="0"/>
      <w:marRight w:val="0"/>
      <w:marTop w:val="0"/>
      <w:marBottom w:val="0"/>
      <w:divBdr>
        <w:top w:val="none" w:sz="0" w:space="0" w:color="auto"/>
        <w:left w:val="none" w:sz="0" w:space="0" w:color="auto"/>
        <w:bottom w:val="none" w:sz="0" w:space="0" w:color="auto"/>
        <w:right w:val="none" w:sz="0" w:space="0" w:color="auto"/>
      </w:divBdr>
    </w:div>
    <w:div w:id="331567921">
      <w:bodyDiv w:val="1"/>
      <w:marLeft w:val="0"/>
      <w:marRight w:val="0"/>
      <w:marTop w:val="0"/>
      <w:marBottom w:val="0"/>
      <w:divBdr>
        <w:top w:val="none" w:sz="0" w:space="0" w:color="auto"/>
        <w:left w:val="none" w:sz="0" w:space="0" w:color="auto"/>
        <w:bottom w:val="none" w:sz="0" w:space="0" w:color="auto"/>
        <w:right w:val="none" w:sz="0" w:space="0" w:color="auto"/>
      </w:divBdr>
    </w:div>
    <w:div w:id="366220551">
      <w:bodyDiv w:val="1"/>
      <w:marLeft w:val="0"/>
      <w:marRight w:val="0"/>
      <w:marTop w:val="0"/>
      <w:marBottom w:val="0"/>
      <w:divBdr>
        <w:top w:val="none" w:sz="0" w:space="0" w:color="auto"/>
        <w:left w:val="none" w:sz="0" w:space="0" w:color="auto"/>
        <w:bottom w:val="none" w:sz="0" w:space="0" w:color="auto"/>
        <w:right w:val="none" w:sz="0" w:space="0" w:color="auto"/>
      </w:divBdr>
    </w:div>
    <w:div w:id="706375696">
      <w:bodyDiv w:val="1"/>
      <w:marLeft w:val="0"/>
      <w:marRight w:val="0"/>
      <w:marTop w:val="0"/>
      <w:marBottom w:val="0"/>
      <w:divBdr>
        <w:top w:val="none" w:sz="0" w:space="0" w:color="auto"/>
        <w:left w:val="none" w:sz="0" w:space="0" w:color="auto"/>
        <w:bottom w:val="none" w:sz="0" w:space="0" w:color="auto"/>
        <w:right w:val="none" w:sz="0" w:space="0" w:color="auto"/>
      </w:divBdr>
    </w:div>
    <w:div w:id="1038511915">
      <w:bodyDiv w:val="1"/>
      <w:marLeft w:val="0"/>
      <w:marRight w:val="0"/>
      <w:marTop w:val="0"/>
      <w:marBottom w:val="0"/>
      <w:divBdr>
        <w:top w:val="none" w:sz="0" w:space="0" w:color="auto"/>
        <w:left w:val="none" w:sz="0" w:space="0" w:color="auto"/>
        <w:bottom w:val="none" w:sz="0" w:space="0" w:color="auto"/>
        <w:right w:val="none" w:sz="0" w:space="0" w:color="auto"/>
      </w:divBdr>
    </w:div>
    <w:div w:id="1045570250">
      <w:bodyDiv w:val="1"/>
      <w:marLeft w:val="0"/>
      <w:marRight w:val="0"/>
      <w:marTop w:val="0"/>
      <w:marBottom w:val="0"/>
      <w:divBdr>
        <w:top w:val="none" w:sz="0" w:space="0" w:color="auto"/>
        <w:left w:val="none" w:sz="0" w:space="0" w:color="auto"/>
        <w:bottom w:val="none" w:sz="0" w:space="0" w:color="auto"/>
        <w:right w:val="none" w:sz="0" w:space="0" w:color="auto"/>
      </w:divBdr>
      <w:divsChild>
        <w:div w:id="1994486282">
          <w:marLeft w:val="0"/>
          <w:marRight w:val="0"/>
          <w:marTop w:val="0"/>
          <w:marBottom w:val="0"/>
          <w:divBdr>
            <w:top w:val="none" w:sz="0" w:space="0" w:color="auto"/>
            <w:left w:val="none" w:sz="0" w:space="0" w:color="auto"/>
            <w:bottom w:val="none" w:sz="0" w:space="0" w:color="auto"/>
            <w:right w:val="none" w:sz="0" w:space="0" w:color="auto"/>
          </w:divBdr>
          <w:divsChild>
            <w:div w:id="659193474">
              <w:marLeft w:val="0"/>
              <w:marRight w:val="0"/>
              <w:marTop w:val="0"/>
              <w:marBottom w:val="0"/>
              <w:divBdr>
                <w:top w:val="none" w:sz="0" w:space="0" w:color="auto"/>
                <w:left w:val="none" w:sz="0" w:space="0" w:color="auto"/>
                <w:bottom w:val="none" w:sz="0" w:space="0" w:color="auto"/>
                <w:right w:val="none" w:sz="0" w:space="0" w:color="auto"/>
              </w:divBdr>
              <w:divsChild>
                <w:div w:id="1639187160">
                  <w:marLeft w:val="0"/>
                  <w:marRight w:val="0"/>
                  <w:marTop w:val="0"/>
                  <w:marBottom w:val="0"/>
                  <w:divBdr>
                    <w:top w:val="none" w:sz="0" w:space="0" w:color="auto"/>
                    <w:left w:val="none" w:sz="0" w:space="0" w:color="auto"/>
                    <w:bottom w:val="none" w:sz="0" w:space="0" w:color="auto"/>
                    <w:right w:val="none" w:sz="0" w:space="0" w:color="auto"/>
                  </w:divBdr>
                  <w:divsChild>
                    <w:div w:id="2079546574">
                      <w:marLeft w:val="120"/>
                      <w:marRight w:val="120"/>
                      <w:marTop w:val="60"/>
                      <w:marBottom w:val="75"/>
                      <w:divBdr>
                        <w:top w:val="none" w:sz="0" w:space="0" w:color="auto"/>
                        <w:left w:val="none" w:sz="0" w:space="0" w:color="auto"/>
                        <w:bottom w:val="none" w:sz="0" w:space="0" w:color="auto"/>
                        <w:right w:val="none" w:sz="0" w:space="0" w:color="auto"/>
                      </w:divBdr>
                      <w:divsChild>
                        <w:div w:id="17310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6250">
          <w:marLeft w:val="0"/>
          <w:marRight w:val="0"/>
          <w:marTop w:val="0"/>
          <w:marBottom w:val="0"/>
          <w:divBdr>
            <w:top w:val="none" w:sz="0" w:space="0" w:color="auto"/>
            <w:left w:val="none" w:sz="0" w:space="0" w:color="auto"/>
            <w:bottom w:val="none" w:sz="0" w:space="0" w:color="auto"/>
            <w:right w:val="none" w:sz="0" w:space="0" w:color="auto"/>
          </w:divBdr>
          <w:divsChild>
            <w:div w:id="1077168533">
              <w:marLeft w:val="0"/>
              <w:marRight w:val="0"/>
              <w:marTop w:val="0"/>
              <w:marBottom w:val="0"/>
              <w:divBdr>
                <w:top w:val="none" w:sz="0" w:space="0" w:color="auto"/>
                <w:left w:val="none" w:sz="0" w:space="0" w:color="auto"/>
                <w:bottom w:val="none" w:sz="0" w:space="0" w:color="auto"/>
                <w:right w:val="none" w:sz="0" w:space="0" w:color="auto"/>
              </w:divBdr>
              <w:divsChild>
                <w:div w:id="1406992516">
                  <w:marLeft w:val="0"/>
                  <w:marRight w:val="0"/>
                  <w:marTop w:val="0"/>
                  <w:marBottom w:val="0"/>
                  <w:divBdr>
                    <w:top w:val="none" w:sz="0" w:space="0" w:color="auto"/>
                    <w:left w:val="none" w:sz="0" w:space="0" w:color="auto"/>
                    <w:bottom w:val="none" w:sz="0" w:space="0" w:color="auto"/>
                    <w:right w:val="none" w:sz="0" w:space="0" w:color="auto"/>
                  </w:divBdr>
                  <w:divsChild>
                    <w:div w:id="1286429347">
                      <w:marLeft w:val="120"/>
                      <w:marRight w:val="120"/>
                      <w:marTop w:val="60"/>
                      <w:marBottom w:val="75"/>
                      <w:divBdr>
                        <w:top w:val="none" w:sz="0" w:space="0" w:color="auto"/>
                        <w:left w:val="none" w:sz="0" w:space="0" w:color="auto"/>
                        <w:bottom w:val="none" w:sz="0" w:space="0" w:color="auto"/>
                        <w:right w:val="none" w:sz="0" w:space="0" w:color="auto"/>
                      </w:divBdr>
                      <w:divsChild>
                        <w:div w:id="4158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6517">
          <w:marLeft w:val="0"/>
          <w:marRight w:val="0"/>
          <w:marTop w:val="0"/>
          <w:marBottom w:val="0"/>
          <w:divBdr>
            <w:top w:val="none" w:sz="0" w:space="0" w:color="auto"/>
            <w:left w:val="none" w:sz="0" w:space="0" w:color="auto"/>
            <w:bottom w:val="none" w:sz="0" w:space="0" w:color="auto"/>
            <w:right w:val="none" w:sz="0" w:space="0" w:color="auto"/>
          </w:divBdr>
          <w:divsChild>
            <w:div w:id="1649363631">
              <w:marLeft w:val="0"/>
              <w:marRight w:val="0"/>
              <w:marTop w:val="0"/>
              <w:marBottom w:val="0"/>
              <w:divBdr>
                <w:top w:val="none" w:sz="0" w:space="0" w:color="auto"/>
                <w:left w:val="none" w:sz="0" w:space="0" w:color="auto"/>
                <w:bottom w:val="none" w:sz="0" w:space="0" w:color="auto"/>
                <w:right w:val="none" w:sz="0" w:space="0" w:color="auto"/>
              </w:divBdr>
              <w:divsChild>
                <w:div w:id="1343241743">
                  <w:marLeft w:val="0"/>
                  <w:marRight w:val="0"/>
                  <w:marTop w:val="0"/>
                  <w:marBottom w:val="0"/>
                  <w:divBdr>
                    <w:top w:val="none" w:sz="0" w:space="0" w:color="auto"/>
                    <w:left w:val="none" w:sz="0" w:space="0" w:color="auto"/>
                    <w:bottom w:val="none" w:sz="0" w:space="0" w:color="auto"/>
                    <w:right w:val="none" w:sz="0" w:space="0" w:color="auto"/>
                  </w:divBdr>
                  <w:divsChild>
                    <w:div w:id="106530314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051610689">
      <w:bodyDiv w:val="1"/>
      <w:marLeft w:val="0"/>
      <w:marRight w:val="0"/>
      <w:marTop w:val="0"/>
      <w:marBottom w:val="0"/>
      <w:divBdr>
        <w:top w:val="none" w:sz="0" w:space="0" w:color="auto"/>
        <w:left w:val="none" w:sz="0" w:space="0" w:color="auto"/>
        <w:bottom w:val="none" w:sz="0" w:space="0" w:color="auto"/>
        <w:right w:val="none" w:sz="0" w:space="0" w:color="auto"/>
      </w:divBdr>
    </w:div>
    <w:div w:id="1169053702">
      <w:bodyDiv w:val="1"/>
      <w:marLeft w:val="0"/>
      <w:marRight w:val="0"/>
      <w:marTop w:val="0"/>
      <w:marBottom w:val="0"/>
      <w:divBdr>
        <w:top w:val="none" w:sz="0" w:space="0" w:color="auto"/>
        <w:left w:val="none" w:sz="0" w:space="0" w:color="auto"/>
        <w:bottom w:val="none" w:sz="0" w:space="0" w:color="auto"/>
        <w:right w:val="none" w:sz="0" w:space="0" w:color="auto"/>
      </w:divBdr>
    </w:div>
    <w:div w:id="1268078703">
      <w:bodyDiv w:val="1"/>
      <w:marLeft w:val="0"/>
      <w:marRight w:val="0"/>
      <w:marTop w:val="0"/>
      <w:marBottom w:val="0"/>
      <w:divBdr>
        <w:top w:val="none" w:sz="0" w:space="0" w:color="auto"/>
        <w:left w:val="none" w:sz="0" w:space="0" w:color="auto"/>
        <w:bottom w:val="none" w:sz="0" w:space="0" w:color="auto"/>
        <w:right w:val="none" w:sz="0" w:space="0" w:color="auto"/>
      </w:divBdr>
    </w:div>
    <w:div w:id="1305700460">
      <w:bodyDiv w:val="1"/>
      <w:marLeft w:val="0"/>
      <w:marRight w:val="0"/>
      <w:marTop w:val="0"/>
      <w:marBottom w:val="0"/>
      <w:divBdr>
        <w:top w:val="none" w:sz="0" w:space="0" w:color="auto"/>
        <w:left w:val="none" w:sz="0" w:space="0" w:color="auto"/>
        <w:bottom w:val="none" w:sz="0" w:space="0" w:color="auto"/>
        <w:right w:val="none" w:sz="0" w:space="0" w:color="auto"/>
      </w:divBdr>
    </w:div>
    <w:div w:id="1308314234">
      <w:bodyDiv w:val="1"/>
      <w:marLeft w:val="0"/>
      <w:marRight w:val="0"/>
      <w:marTop w:val="0"/>
      <w:marBottom w:val="0"/>
      <w:divBdr>
        <w:top w:val="none" w:sz="0" w:space="0" w:color="auto"/>
        <w:left w:val="none" w:sz="0" w:space="0" w:color="auto"/>
        <w:bottom w:val="none" w:sz="0" w:space="0" w:color="auto"/>
        <w:right w:val="none" w:sz="0" w:space="0" w:color="auto"/>
      </w:divBdr>
    </w:div>
    <w:div w:id="1312980883">
      <w:bodyDiv w:val="1"/>
      <w:marLeft w:val="0"/>
      <w:marRight w:val="0"/>
      <w:marTop w:val="0"/>
      <w:marBottom w:val="0"/>
      <w:divBdr>
        <w:top w:val="none" w:sz="0" w:space="0" w:color="auto"/>
        <w:left w:val="none" w:sz="0" w:space="0" w:color="auto"/>
        <w:bottom w:val="none" w:sz="0" w:space="0" w:color="auto"/>
        <w:right w:val="none" w:sz="0" w:space="0" w:color="auto"/>
      </w:divBdr>
    </w:div>
    <w:div w:id="1361860084">
      <w:bodyDiv w:val="1"/>
      <w:marLeft w:val="0"/>
      <w:marRight w:val="0"/>
      <w:marTop w:val="0"/>
      <w:marBottom w:val="0"/>
      <w:divBdr>
        <w:top w:val="none" w:sz="0" w:space="0" w:color="auto"/>
        <w:left w:val="none" w:sz="0" w:space="0" w:color="auto"/>
        <w:bottom w:val="none" w:sz="0" w:space="0" w:color="auto"/>
        <w:right w:val="none" w:sz="0" w:space="0" w:color="auto"/>
      </w:divBdr>
    </w:div>
    <w:div w:id="1387148813">
      <w:bodyDiv w:val="1"/>
      <w:marLeft w:val="0"/>
      <w:marRight w:val="0"/>
      <w:marTop w:val="0"/>
      <w:marBottom w:val="0"/>
      <w:divBdr>
        <w:top w:val="none" w:sz="0" w:space="0" w:color="auto"/>
        <w:left w:val="none" w:sz="0" w:space="0" w:color="auto"/>
        <w:bottom w:val="none" w:sz="0" w:space="0" w:color="auto"/>
        <w:right w:val="none" w:sz="0" w:space="0" w:color="auto"/>
      </w:divBdr>
    </w:div>
    <w:div w:id="1401369557">
      <w:bodyDiv w:val="1"/>
      <w:marLeft w:val="0"/>
      <w:marRight w:val="0"/>
      <w:marTop w:val="0"/>
      <w:marBottom w:val="0"/>
      <w:divBdr>
        <w:top w:val="none" w:sz="0" w:space="0" w:color="auto"/>
        <w:left w:val="none" w:sz="0" w:space="0" w:color="auto"/>
        <w:bottom w:val="none" w:sz="0" w:space="0" w:color="auto"/>
        <w:right w:val="none" w:sz="0" w:space="0" w:color="auto"/>
      </w:divBdr>
    </w:div>
    <w:div w:id="1739089078">
      <w:bodyDiv w:val="1"/>
      <w:marLeft w:val="0"/>
      <w:marRight w:val="0"/>
      <w:marTop w:val="0"/>
      <w:marBottom w:val="0"/>
      <w:divBdr>
        <w:top w:val="none" w:sz="0" w:space="0" w:color="auto"/>
        <w:left w:val="none" w:sz="0" w:space="0" w:color="auto"/>
        <w:bottom w:val="none" w:sz="0" w:space="0" w:color="auto"/>
        <w:right w:val="none" w:sz="0" w:space="0" w:color="auto"/>
      </w:divBdr>
    </w:div>
    <w:div w:id="1824663367">
      <w:bodyDiv w:val="1"/>
      <w:marLeft w:val="0"/>
      <w:marRight w:val="0"/>
      <w:marTop w:val="0"/>
      <w:marBottom w:val="0"/>
      <w:divBdr>
        <w:top w:val="none" w:sz="0" w:space="0" w:color="auto"/>
        <w:left w:val="none" w:sz="0" w:space="0" w:color="auto"/>
        <w:bottom w:val="none" w:sz="0" w:space="0" w:color="auto"/>
        <w:right w:val="none" w:sz="0" w:space="0" w:color="auto"/>
      </w:divBdr>
    </w:div>
    <w:div w:id="2042364621">
      <w:bodyDiv w:val="1"/>
      <w:marLeft w:val="0"/>
      <w:marRight w:val="0"/>
      <w:marTop w:val="0"/>
      <w:marBottom w:val="0"/>
      <w:divBdr>
        <w:top w:val="none" w:sz="0" w:space="0" w:color="auto"/>
        <w:left w:val="none" w:sz="0" w:space="0" w:color="auto"/>
        <w:bottom w:val="none" w:sz="0" w:space="0" w:color="auto"/>
        <w:right w:val="none" w:sz="0" w:space="0" w:color="auto"/>
      </w:divBdr>
    </w:div>
    <w:div w:id="2057699682">
      <w:bodyDiv w:val="1"/>
      <w:marLeft w:val="0"/>
      <w:marRight w:val="0"/>
      <w:marTop w:val="0"/>
      <w:marBottom w:val="0"/>
      <w:divBdr>
        <w:top w:val="none" w:sz="0" w:space="0" w:color="auto"/>
        <w:left w:val="none" w:sz="0" w:space="0" w:color="auto"/>
        <w:bottom w:val="none" w:sz="0" w:space="0" w:color="auto"/>
        <w:right w:val="none" w:sz="0" w:space="0" w:color="auto"/>
      </w:divBdr>
    </w:div>
    <w:div w:id="2094667640">
      <w:bodyDiv w:val="1"/>
      <w:marLeft w:val="0"/>
      <w:marRight w:val="0"/>
      <w:marTop w:val="0"/>
      <w:marBottom w:val="0"/>
      <w:divBdr>
        <w:top w:val="none" w:sz="0" w:space="0" w:color="auto"/>
        <w:left w:val="none" w:sz="0" w:space="0" w:color="auto"/>
        <w:bottom w:val="none" w:sz="0" w:space="0" w:color="auto"/>
        <w:right w:val="none" w:sz="0" w:space="0" w:color="auto"/>
      </w:divBdr>
    </w:div>
    <w:div w:id="2112046714">
      <w:bodyDiv w:val="1"/>
      <w:marLeft w:val="0"/>
      <w:marRight w:val="0"/>
      <w:marTop w:val="0"/>
      <w:marBottom w:val="0"/>
      <w:divBdr>
        <w:top w:val="none" w:sz="0" w:space="0" w:color="auto"/>
        <w:left w:val="none" w:sz="0" w:space="0" w:color="auto"/>
        <w:bottom w:val="none" w:sz="0" w:space="0" w:color="auto"/>
        <w:right w:val="none" w:sz="0" w:space="0" w:color="auto"/>
      </w:divBdr>
    </w:div>
    <w:div w:id="2123919897">
      <w:bodyDiv w:val="1"/>
      <w:marLeft w:val="0"/>
      <w:marRight w:val="0"/>
      <w:marTop w:val="0"/>
      <w:marBottom w:val="0"/>
      <w:divBdr>
        <w:top w:val="none" w:sz="0" w:space="0" w:color="auto"/>
        <w:left w:val="none" w:sz="0" w:space="0" w:color="auto"/>
        <w:bottom w:val="none" w:sz="0" w:space="0" w:color="auto"/>
        <w:right w:val="none" w:sz="0" w:space="0" w:color="auto"/>
      </w:divBdr>
    </w:div>
    <w:div w:id="21363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Murojaat mazmuni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77E-4F5E-9F19-C4EA3406E1C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77E-4F5E-9F19-C4EA3406E1C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77E-4F5E-9F19-C4EA3406E1C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77E-4F5E-9F19-C4EA3406E1C9}"/>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77E-4F5E-9F19-C4EA3406E1C9}"/>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77E-4F5E-9F19-C4EA3406E1C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377E-4F5E-9F19-C4EA3406E1C9}"/>
              </c:ext>
            </c:extLst>
          </c:dPt>
          <c:dLbls>
            <c:dLbl>
              <c:idx val="0"/>
              <c:tx>
                <c:rich>
                  <a:bodyPr/>
                  <a:lstStyle/>
                  <a:p>
                    <a:fld id="{C4D34612-235F-41ED-B71F-45148729D854}" type="VALUE">
                      <a:rPr lang="en-US"/>
                      <a:pPr/>
                      <a:t>[VALUE]</a:t>
                    </a:fld>
                    <a:endParaRPr lang="en-US"/>
                  </a:p>
                  <a:p>
                    <a:r>
                      <a:rPr lang="en-US" baseline="0"/>
                      <a:t> </a:t>
                    </a:r>
                    <a:fld id="{442B7D49-E1C0-4D8E-9BD6-C0107E7F342B}" type="PERCENTAGE">
                      <a:rPr lang="en-US" baseline="0"/>
                      <a:pPr/>
                      <a:t>[PERCENTAGE]</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77E-4F5E-9F19-C4EA3406E1C9}"/>
                </c:ext>
              </c:extLst>
            </c:dLbl>
            <c:dLbl>
              <c:idx val="1"/>
              <c:layout>
                <c:manualLayout>
                  <c:x val="-3.6048046077573635E-2"/>
                  <c:y val="0.11946225471816023"/>
                </c:manualLayout>
              </c:layout>
              <c:tx>
                <c:rich>
                  <a:bodyPr/>
                  <a:lstStyle/>
                  <a:p>
                    <a:fld id="{06F80EB4-F0BA-4CC0-9E4C-E57FB29712F5}" type="VALUE">
                      <a:rPr lang="en-US"/>
                      <a:pPr/>
                      <a:t>[VALUE]</a:t>
                    </a:fld>
                    <a:endParaRPr lang="en-US" baseline="0"/>
                  </a:p>
                  <a:p>
                    <a:fld id="{453136D3-2BC5-4FBD-8DC1-754912EBF0C5}" type="PERCENTAGE">
                      <a:rPr lang="en-US" baseline="0"/>
                      <a:pPr/>
                      <a:t>[PERCENTAGE]</a:t>
                    </a:fld>
                    <a:endParaRPr lang="ru-RU"/>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77E-4F5E-9F19-C4EA3406E1C9}"/>
                </c:ext>
              </c:extLst>
            </c:dLbl>
            <c:dLbl>
              <c:idx val="2"/>
              <c:layout>
                <c:manualLayout>
                  <c:x val="-5.0082567804024494E-2"/>
                  <c:y val="0.11558867641544807"/>
                </c:manualLayout>
              </c:layout>
              <c:tx>
                <c:rich>
                  <a:bodyPr/>
                  <a:lstStyle/>
                  <a:p>
                    <a:fld id="{0615B6CA-B5B4-4681-95BC-70FC6F5BE7DA}" type="VALUE">
                      <a:rPr lang="en-US"/>
                      <a:pPr/>
                      <a:t>[VALUE]</a:t>
                    </a:fld>
                    <a:endParaRPr lang="en-US"/>
                  </a:p>
                  <a:p>
                    <a:r>
                      <a:rPr lang="en-US" baseline="0"/>
                      <a:t> </a:t>
                    </a:r>
                    <a:fld id="{9B1A1D62-2BC4-487F-B9C9-77AA03CF520A}"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77E-4F5E-9F19-C4EA3406E1C9}"/>
                </c:ext>
              </c:extLst>
            </c:dLbl>
            <c:dLbl>
              <c:idx val="3"/>
              <c:tx>
                <c:rich>
                  <a:bodyPr/>
                  <a:lstStyle/>
                  <a:p>
                    <a:fld id="{23E3A785-17CE-40C0-932D-072B966997D2}" type="VALUE">
                      <a:rPr lang="en-US"/>
                      <a:pPr/>
                      <a:t>[VALUE]</a:t>
                    </a:fld>
                    <a:endParaRPr lang="en-US" baseline="0"/>
                  </a:p>
                  <a:p>
                    <a:fld id="{DB680C90-1437-4D97-B318-F65A2BB66F85}" type="PERCENTAGE">
                      <a:rPr lang="en-US" baseline="0"/>
                      <a:pPr/>
                      <a:t>[PERCENTAGE]</a:t>
                    </a:fld>
                    <a:endParaRPr lang="ru-RU"/>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77E-4F5E-9F19-C4EA3406E1C9}"/>
                </c:ext>
              </c:extLst>
            </c:dLbl>
            <c:dLbl>
              <c:idx val="4"/>
              <c:layout>
                <c:manualLayout>
                  <c:x val="-6.6013232720909892E-2"/>
                  <c:y val="-0.1740938632670917"/>
                </c:manualLayout>
              </c:layout>
              <c:tx>
                <c:rich>
                  <a:bodyPr/>
                  <a:lstStyle/>
                  <a:p>
                    <a:fld id="{FEF1A350-2B1F-4F55-A963-D4862729C924}" type="VALUE">
                      <a:rPr lang="en-US"/>
                      <a:pPr/>
                      <a:t>[VALUE]</a:t>
                    </a:fld>
                    <a:endParaRPr lang="en-US"/>
                  </a:p>
                  <a:p>
                    <a:fld id="{1C37912B-51ED-44FE-8502-CD098FAE7369}" type="PERCENTAGE">
                      <a:rPr lang="en-US"/>
                      <a:pPr/>
                      <a:t>[PERCENTAGE]</a:t>
                    </a:fld>
                    <a:endParaRPr lang="ru-RU"/>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77E-4F5E-9F19-C4EA3406E1C9}"/>
                </c:ext>
              </c:extLst>
            </c:dLbl>
            <c:dLbl>
              <c:idx val="5"/>
              <c:layout>
                <c:manualLayout>
                  <c:x val="-5.4249416739574306E-2"/>
                  <c:y val="-0.2063492063492065"/>
                </c:manualLayout>
              </c:layout>
              <c:tx>
                <c:rich>
                  <a:bodyPr/>
                  <a:lstStyle/>
                  <a:p>
                    <a:fld id="{6B6D2839-2301-47A4-ABA9-3A7A2BA063A0}" type="VALUE">
                      <a:rPr lang="en-US"/>
                      <a:pPr/>
                      <a:t>[VALUE]</a:t>
                    </a:fld>
                    <a:endParaRPr lang="en-US" baseline="0"/>
                  </a:p>
                  <a:p>
                    <a:r>
                      <a:rPr lang="en-US" baseline="0"/>
                      <a:t> </a:t>
                    </a:r>
                    <a:fld id="{D9C11A04-62C3-4C2B-8687-5AD500D15652}"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77E-4F5E-9F19-C4EA3406E1C9}"/>
                </c:ext>
              </c:extLst>
            </c:dLbl>
            <c:dLbl>
              <c:idx val="6"/>
              <c:tx>
                <c:rich>
                  <a:bodyPr/>
                  <a:lstStyle/>
                  <a:p>
                    <a:fld id="{1A2B744C-E451-444C-934C-90F7B19B9E1F}" type="VALUE">
                      <a:rPr lang="en-US"/>
                      <a:pPr/>
                      <a:t>[VALUE]</a:t>
                    </a:fld>
                    <a:endParaRPr lang="en-US"/>
                  </a:p>
                  <a:p>
                    <a:r>
                      <a:rPr lang="en-US" baseline="0"/>
                      <a:t> </a:t>
                    </a:r>
                    <a:fld id="{E15865BD-F210-4EF2-9209-37C0293EA064}" type="PERCENTAGE">
                      <a:rPr lang="en-US" baseline="0"/>
                      <a:pPr/>
                      <a:t>[PERCENTAGE]</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77E-4F5E-9F19-C4EA3406E1C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To`lov tizimi va naqd pulsiz hisob-kitoblar masalasida</c:v>
                </c:pt>
                <c:pt idx="1">
                  <c:v>Bаnк omonati vа boshqa depozit operatsiyalari</c:v>
                </c:pt>
                <c:pt idx="2">
                  <c:v>Bank kreditlari va kredit operatsiyalari</c:v>
                </c:pt>
                <c:pt idx="3">
                  <c:v>Plastik kartochka va terminallar masalasida</c:v>
                </c:pt>
                <c:pt idx="4">
                  <c:v>Valyutani tartibga solish va valyutani nazorat qilish</c:v>
                </c:pt>
                <c:pt idx="5">
                  <c:v>Bank xodimlarining xatti-harakatlari masalasida</c:v>
                </c:pt>
                <c:pt idx="6">
                  <c:v>Boshqa masalalar</c:v>
                </c:pt>
              </c:strCache>
            </c:strRef>
          </c:cat>
          <c:val>
            <c:numRef>
              <c:f>Sheet1!$B$2:$B$8</c:f>
              <c:numCache>
                <c:formatCode>General</c:formatCode>
                <c:ptCount val="7"/>
                <c:pt idx="0">
                  <c:v>1</c:v>
                </c:pt>
                <c:pt idx="1">
                  <c:v>1</c:v>
                </c:pt>
                <c:pt idx="2">
                  <c:v>3</c:v>
                </c:pt>
                <c:pt idx="3">
                  <c:v>7</c:v>
                </c:pt>
                <c:pt idx="4">
                  <c:v>3</c:v>
                </c:pt>
                <c:pt idx="5">
                  <c:v>2</c:v>
                </c:pt>
                <c:pt idx="6">
                  <c:v>20</c:v>
                </c:pt>
              </c:numCache>
            </c:numRef>
          </c:val>
          <c:extLst>
            <c:ext xmlns:c16="http://schemas.microsoft.com/office/drawing/2014/chart" uri="{C3380CC4-5D6E-409C-BE32-E72D297353CC}">
              <c16:uniqueId val="{0000000E-377E-4F5E-9F19-C4EA3406E1C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E1954-BDCF-4580-AFFA-B416BE9A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kbb</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Goliba Inogamova</dc:creator>
  <cp:keywords/>
  <dc:description/>
  <cp:lastModifiedBy>Akbar Mukarov</cp:lastModifiedBy>
  <cp:revision>5</cp:revision>
  <cp:lastPrinted>2026-03-31T13:05:00Z</cp:lastPrinted>
  <dcterms:created xsi:type="dcterms:W3CDTF">2026-07-16T06:34:00Z</dcterms:created>
  <dcterms:modified xsi:type="dcterms:W3CDTF">2026-07-16T06:36:00Z</dcterms:modified>
</cp:coreProperties>
</file>